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051EA" w14:textId="77777777" w:rsidR="00BC6201" w:rsidRDefault="00BC6201" w:rsidP="00850B45">
      <w:pPr>
        <w:pStyle w:val="Heading2"/>
        <w:jc w:val="both"/>
        <w:rPr>
          <w:rFonts w:eastAsiaTheme="majorEastAsia" w:cstheme="majorBidi"/>
          <w:bCs w:val="0"/>
          <w:color w:val="2F5496" w:themeColor="accent1" w:themeShade="BF"/>
          <w:sz w:val="44"/>
          <w:szCs w:val="32"/>
          <w:lang w:eastAsia="en-US"/>
        </w:rPr>
      </w:pPr>
      <w:r w:rsidRPr="00BC6201">
        <w:rPr>
          <w:rFonts w:eastAsiaTheme="majorEastAsia" w:cstheme="majorBidi"/>
          <w:bCs w:val="0"/>
          <w:color w:val="2F5496" w:themeColor="accent1" w:themeShade="BF"/>
          <w:sz w:val="44"/>
          <w:szCs w:val="32"/>
          <w:lang w:eastAsia="en-US"/>
        </w:rPr>
        <w:t>Recommendations made by the PBAC – July 2024</w:t>
      </w:r>
    </w:p>
    <w:p w14:paraId="0231F5C5" w14:textId="480AFE74" w:rsidR="00A62FCB" w:rsidRPr="00A62FCB" w:rsidRDefault="00A62FCB" w:rsidP="00850B45">
      <w:pPr>
        <w:pStyle w:val="Heading2"/>
        <w:jc w:val="both"/>
        <w:rPr>
          <w:rFonts w:ascii="Open Sans" w:hAnsi="Open Sans" w:cs="Open Sans"/>
          <w:b w:val="0"/>
          <w:bCs w:val="0"/>
          <w:color w:val="auto"/>
          <w:sz w:val="20"/>
          <w:szCs w:val="20"/>
          <w:lang w:eastAsia="en-US"/>
        </w:rPr>
      </w:pPr>
      <w:r w:rsidRPr="00A62FCB">
        <w:rPr>
          <w:rFonts w:ascii="Open Sans" w:hAnsi="Open Sans" w:cs="Open Sans"/>
          <w:b w:val="0"/>
          <w:bCs w:val="0"/>
          <w:color w:val="auto"/>
          <w:sz w:val="20"/>
          <w:szCs w:val="20"/>
          <w:lang w:eastAsia="en-US"/>
        </w:rPr>
        <w:t>Last updated: 1 November 2024</w:t>
      </w:r>
    </w:p>
    <w:p w14:paraId="796225F6" w14:textId="780A3241" w:rsidR="002E3851" w:rsidRDefault="00D91D28" w:rsidP="00850B45">
      <w:pPr>
        <w:pStyle w:val="Heading2"/>
        <w:jc w:val="both"/>
        <w:rPr>
          <w:rFonts w:eastAsiaTheme="majorEastAsia"/>
        </w:rPr>
      </w:pPr>
      <w:r>
        <w:rPr>
          <w:rFonts w:eastAsiaTheme="majorEastAsia"/>
        </w:rPr>
        <w:t xml:space="preserve">Nurse Practitioner </w:t>
      </w:r>
      <w:r w:rsidR="00BC6201" w:rsidRPr="00BC6201">
        <w:rPr>
          <w:rFonts w:eastAsiaTheme="majorEastAsia"/>
        </w:rPr>
        <w:t xml:space="preserve">– </w:t>
      </w:r>
      <w:r>
        <w:rPr>
          <w:rFonts w:eastAsiaTheme="majorEastAsia"/>
        </w:rPr>
        <w:t>Shared Care Model listings</w:t>
      </w:r>
    </w:p>
    <w:p w14:paraId="61B3B623" w14:textId="1E9D35F8" w:rsidR="008A3E97" w:rsidRPr="00A62FCB" w:rsidRDefault="00142E8B" w:rsidP="00404B59">
      <w:pPr>
        <w:spacing w:after="90" w:line="290" w:lineRule="atLeast"/>
        <w:ind w:right="147"/>
        <w:jc w:val="both"/>
        <w:rPr>
          <w:rFonts w:ascii="Open Sans" w:eastAsia="Times New Roman" w:hAnsi="Open Sans" w:cs="Open Sans"/>
          <w:sz w:val="20"/>
          <w:szCs w:val="20"/>
          <w:lang w:eastAsia="en-AU"/>
        </w:rPr>
      </w:pPr>
      <w:r w:rsidRPr="00A62FCB">
        <w:rPr>
          <w:rFonts w:ascii="Open Sans" w:eastAsia="Times New Roman" w:hAnsi="Open Sans" w:cs="Open Sans"/>
          <w:sz w:val="20"/>
          <w:szCs w:val="20"/>
        </w:rPr>
        <w:t xml:space="preserve">At its </w:t>
      </w:r>
      <w:hyperlink r:id="rId8" w:history="1">
        <w:r w:rsidRPr="00A62FCB">
          <w:rPr>
            <w:rStyle w:val="Hyperlink"/>
            <w:rFonts w:ascii="Open Sans" w:eastAsia="Times New Roman" w:hAnsi="Open Sans" w:cs="Open Sans"/>
            <w:sz w:val="20"/>
            <w:szCs w:val="20"/>
          </w:rPr>
          <w:t>July 2024 meeting</w:t>
        </w:r>
      </w:hyperlink>
      <w:r w:rsidRPr="00A62FCB">
        <w:rPr>
          <w:rFonts w:ascii="Open Sans" w:eastAsia="Times New Roman" w:hAnsi="Open Sans" w:cs="Open Sans"/>
          <w:sz w:val="20"/>
          <w:szCs w:val="20"/>
        </w:rPr>
        <w:t xml:space="preserve"> the </w:t>
      </w:r>
      <w:r w:rsidR="00BC6201" w:rsidRPr="00A62FCB">
        <w:rPr>
          <w:rFonts w:ascii="Open Sans" w:hAnsi="Open Sans" w:cs="Open Sans"/>
          <w:color w:val="222222"/>
          <w:sz w:val="20"/>
          <w:szCs w:val="20"/>
          <w:shd w:val="clear" w:color="auto" w:fill="FFFFFF"/>
        </w:rPr>
        <w:t>Pharmaceutical Benefits Advisory Committee (</w:t>
      </w:r>
      <w:r w:rsidRPr="00A62FCB">
        <w:rPr>
          <w:rFonts w:ascii="Open Sans" w:eastAsia="Times New Roman" w:hAnsi="Open Sans" w:cs="Open Sans"/>
          <w:sz w:val="20"/>
          <w:szCs w:val="20"/>
        </w:rPr>
        <w:t>PBAC</w:t>
      </w:r>
      <w:r w:rsidR="00BC6201" w:rsidRPr="00A62FCB">
        <w:rPr>
          <w:rFonts w:ascii="Open Sans" w:eastAsia="Times New Roman" w:hAnsi="Open Sans" w:cs="Open Sans"/>
          <w:sz w:val="20"/>
          <w:szCs w:val="20"/>
        </w:rPr>
        <w:t>)</w:t>
      </w:r>
      <w:r w:rsidRPr="00A62FCB">
        <w:rPr>
          <w:rFonts w:ascii="Open Sans" w:eastAsia="Times New Roman" w:hAnsi="Open Sans" w:cs="Open Sans"/>
          <w:sz w:val="20"/>
          <w:szCs w:val="20"/>
        </w:rPr>
        <w:t xml:space="preserve"> reviewed a subset of </w:t>
      </w:r>
      <w:r w:rsidR="00BC6201" w:rsidRPr="00A62FCB">
        <w:rPr>
          <w:rFonts w:ascii="Open Sans" w:eastAsia="Times New Roman" w:hAnsi="Open Sans" w:cs="Open Sans"/>
          <w:sz w:val="20"/>
          <w:szCs w:val="20"/>
        </w:rPr>
        <w:t>Pharmaceutical Benefits Scheme (PBS)</w:t>
      </w:r>
      <w:r w:rsidRPr="00A62FCB">
        <w:rPr>
          <w:rFonts w:ascii="Open Sans" w:eastAsia="Times New Roman" w:hAnsi="Open Sans" w:cs="Open Sans"/>
          <w:sz w:val="20"/>
          <w:szCs w:val="20"/>
        </w:rPr>
        <w:t xml:space="preserve"> listings for prescribing </w:t>
      </w:r>
      <w:r w:rsidR="00BC6201" w:rsidRPr="00A62FCB">
        <w:rPr>
          <w:rFonts w:ascii="Open Sans" w:eastAsia="Times New Roman" w:hAnsi="Open Sans" w:cs="Open Sans"/>
          <w:sz w:val="20"/>
          <w:szCs w:val="20"/>
        </w:rPr>
        <w:t xml:space="preserve">by authorised nurse practitioners (NP) </w:t>
      </w:r>
      <w:r w:rsidRPr="00A62FCB">
        <w:rPr>
          <w:rFonts w:ascii="Open Sans" w:eastAsia="Times New Roman" w:hAnsi="Open Sans" w:cs="Open Sans"/>
          <w:sz w:val="20"/>
          <w:szCs w:val="20"/>
        </w:rPr>
        <w:t xml:space="preserve">that are subject to a Shared </w:t>
      </w:r>
      <w:r w:rsidR="00E24E9C">
        <w:rPr>
          <w:rFonts w:ascii="Open Sans" w:eastAsia="Times New Roman" w:hAnsi="Open Sans" w:cs="Open Sans"/>
          <w:sz w:val="20"/>
          <w:szCs w:val="20"/>
        </w:rPr>
        <w:t>C</w:t>
      </w:r>
      <w:r w:rsidRPr="00A62FCB">
        <w:rPr>
          <w:rFonts w:ascii="Open Sans" w:eastAsia="Times New Roman" w:hAnsi="Open Sans" w:cs="Open Sans"/>
          <w:sz w:val="20"/>
          <w:szCs w:val="20"/>
        </w:rPr>
        <w:t xml:space="preserve">are </w:t>
      </w:r>
      <w:r w:rsidR="00E24E9C">
        <w:rPr>
          <w:rFonts w:ascii="Open Sans" w:eastAsia="Times New Roman" w:hAnsi="Open Sans" w:cs="Open Sans"/>
          <w:sz w:val="20"/>
          <w:szCs w:val="20"/>
        </w:rPr>
        <w:t>M</w:t>
      </w:r>
      <w:r w:rsidRPr="00A62FCB">
        <w:rPr>
          <w:rFonts w:ascii="Open Sans" w:eastAsia="Times New Roman" w:hAnsi="Open Sans" w:cs="Open Sans"/>
          <w:sz w:val="20"/>
          <w:szCs w:val="20"/>
        </w:rPr>
        <w:t xml:space="preserve">odel (SCM) administrative note requiring a ‘formalised arrangement’ to be in place between a </w:t>
      </w:r>
      <w:r w:rsidR="00172590">
        <w:rPr>
          <w:rFonts w:ascii="Open Sans" w:eastAsia="Times New Roman" w:hAnsi="Open Sans" w:cs="Open Sans"/>
          <w:sz w:val="20"/>
          <w:szCs w:val="20"/>
        </w:rPr>
        <w:t xml:space="preserve">nurse practitioner </w:t>
      </w:r>
      <w:r w:rsidRPr="00A62FCB">
        <w:rPr>
          <w:rFonts w:ascii="Open Sans" w:eastAsia="Times New Roman" w:hAnsi="Open Sans" w:cs="Open Sans"/>
          <w:sz w:val="20"/>
          <w:szCs w:val="20"/>
        </w:rPr>
        <w:t xml:space="preserve">and medical practitioner. </w:t>
      </w:r>
    </w:p>
    <w:p w14:paraId="2D0B0617" w14:textId="65C7CB73" w:rsidR="00142E8B" w:rsidRPr="00A62FCB" w:rsidRDefault="00142E8B" w:rsidP="00404B59">
      <w:pPr>
        <w:spacing w:after="90" w:line="290" w:lineRule="atLeast"/>
        <w:ind w:right="147"/>
        <w:jc w:val="both"/>
        <w:rPr>
          <w:rFonts w:ascii="Open Sans" w:eastAsia="Times New Roman" w:hAnsi="Open Sans" w:cs="Open Sans"/>
          <w:sz w:val="20"/>
          <w:szCs w:val="20"/>
          <w:lang w:eastAsia="en-AU"/>
        </w:rPr>
      </w:pPr>
      <w:r w:rsidRPr="00A62FCB">
        <w:rPr>
          <w:rFonts w:ascii="Open Sans" w:eastAsia="Times New Roman" w:hAnsi="Open Sans" w:cs="Open Sans"/>
          <w:sz w:val="20"/>
          <w:szCs w:val="20"/>
        </w:rPr>
        <w:t xml:space="preserve">The PBAC </w:t>
      </w:r>
      <w:r w:rsidR="0079035A" w:rsidRPr="00A62FCB">
        <w:rPr>
          <w:rFonts w:ascii="Open Sans" w:eastAsia="Times New Roman" w:hAnsi="Open Sans" w:cs="Open Sans"/>
          <w:sz w:val="20"/>
          <w:szCs w:val="20"/>
        </w:rPr>
        <w:t>made</w:t>
      </w:r>
      <w:r w:rsidR="008A3E97" w:rsidRPr="00A62FCB">
        <w:rPr>
          <w:rFonts w:ascii="Open Sans" w:eastAsia="Times New Roman" w:hAnsi="Open Sans" w:cs="Open Sans"/>
          <w:sz w:val="20"/>
          <w:szCs w:val="20"/>
        </w:rPr>
        <w:t xml:space="preserve"> its </w:t>
      </w:r>
      <w:r w:rsidRPr="00A62FCB">
        <w:rPr>
          <w:rFonts w:ascii="Open Sans" w:eastAsia="Times New Roman" w:hAnsi="Open Sans" w:cs="Open Sans"/>
          <w:sz w:val="20"/>
          <w:szCs w:val="20"/>
        </w:rPr>
        <w:t xml:space="preserve">recommendations </w:t>
      </w:r>
      <w:r w:rsidR="008A3E97" w:rsidRPr="00A62FCB">
        <w:rPr>
          <w:rFonts w:ascii="Open Sans" w:eastAsia="Times New Roman" w:hAnsi="Open Sans" w:cs="Open Sans"/>
          <w:sz w:val="20"/>
          <w:szCs w:val="20"/>
        </w:rPr>
        <w:t>with</w:t>
      </w:r>
      <w:r w:rsidRPr="00A62FCB">
        <w:rPr>
          <w:rFonts w:ascii="Open Sans" w:eastAsia="Times New Roman" w:hAnsi="Open Sans" w:cs="Open Sans"/>
          <w:sz w:val="20"/>
          <w:szCs w:val="20"/>
        </w:rPr>
        <w:t xml:space="preserve"> </w:t>
      </w:r>
      <w:r w:rsidR="004770E0" w:rsidRPr="00A62FCB">
        <w:rPr>
          <w:rFonts w:ascii="Open Sans" w:eastAsia="Times New Roman" w:hAnsi="Open Sans" w:cs="Open Sans"/>
          <w:sz w:val="20"/>
          <w:szCs w:val="20"/>
        </w:rPr>
        <w:t xml:space="preserve">reference </w:t>
      </w:r>
      <w:r w:rsidRPr="00A62FCB">
        <w:rPr>
          <w:rFonts w:ascii="Open Sans" w:eastAsia="Times New Roman" w:hAnsi="Open Sans" w:cs="Open Sans"/>
          <w:sz w:val="20"/>
          <w:szCs w:val="20"/>
        </w:rPr>
        <w:t xml:space="preserve">to </w:t>
      </w:r>
      <w:r w:rsidR="004770E0" w:rsidRPr="00A62FCB">
        <w:rPr>
          <w:rFonts w:ascii="Open Sans" w:eastAsia="Times New Roman" w:hAnsi="Open Sans" w:cs="Open Sans"/>
          <w:sz w:val="20"/>
          <w:szCs w:val="20"/>
        </w:rPr>
        <w:t>its</w:t>
      </w:r>
      <w:r w:rsidRPr="00A62FCB">
        <w:rPr>
          <w:rFonts w:ascii="Open Sans" w:eastAsia="Times New Roman" w:hAnsi="Open Sans" w:cs="Open Sans"/>
          <w:sz w:val="20"/>
          <w:szCs w:val="20"/>
        </w:rPr>
        <w:t xml:space="preserve"> general principles </w:t>
      </w:r>
      <w:r w:rsidR="004770E0" w:rsidRPr="00A62FCB">
        <w:rPr>
          <w:rFonts w:ascii="Open Sans" w:eastAsia="Times New Roman" w:hAnsi="Open Sans" w:cs="Open Sans"/>
          <w:sz w:val="20"/>
          <w:szCs w:val="20"/>
        </w:rPr>
        <w:t xml:space="preserve">for determining PBS prescriber eligibility. The PBAC’s recommendations and rationale from the guidance principles </w:t>
      </w:r>
      <w:r w:rsidRPr="00A62FCB">
        <w:rPr>
          <w:rFonts w:ascii="Open Sans" w:eastAsia="Times New Roman" w:hAnsi="Open Sans" w:cs="Open Sans"/>
          <w:sz w:val="20"/>
          <w:szCs w:val="20"/>
        </w:rPr>
        <w:t>are summarised in Table 1.</w:t>
      </w:r>
    </w:p>
    <w:p w14:paraId="213DA12F" w14:textId="1D5127C8" w:rsidR="00142E8B" w:rsidRPr="00A62FCB" w:rsidRDefault="00142E8B" w:rsidP="00404B59">
      <w:pPr>
        <w:spacing w:after="90" w:line="290" w:lineRule="atLeast"/>
        <w:ind w:right="147"/>
        <w:jc w:val="both"/>
        <w:rPr>
          <w:rFonts w:ascii="Open Sans" w:eastAsia="Times New Roman" w:hAnsi="Open Sans" w:cs="Open Sans"/>
          <w:sz w:val="20"/>
          <w:szCs w:val="20"/>
          <w:lang w:eastAsia="en-AU"/>
        </w:rPr>
      </w:pPr>
      <w:r w:rsidRPr="00A62FCB">
        <w:rPr>
          <w:rFonts w:ascii="Open Sans" w:eastAsia="Times New Roman" w:hAnsi="Open Sans" w:cs="Open Sans"/>
          <w:sz w:val="20"/>
          <w:szCs w:val="20"/>
        </w:rPr>
        <w:t>The PBAC recommended that the SCM note be removed for most listings (marked as ‘N</w:t>
      </w:r>
      <w:r w:rsidR="00172590">
        <w:rPr>
          <w:rFonts w:ascii="Open Sans" w:eastAsia="Times New Roman" w:hAnsi="Open Sans" w:cs="Open Sans"/>
          <w:sz w:val="20"/>
          <w:szCs w:val="20"/>
        </w:rPr>
        <w:t>o</w:t>
      </w:r>
      <w:r w:rsidRPr="00A62FCB">
        <w:rPr>
          <w:rFonts w:ascii="Open Sans" w:eastAsia="Times New Roman" w:hAnsi="Open Sans" w:cs="Open Sans"/>
          <w:sz w:val="20"/>
          <w:szCs w:val="20"/>
        </w:rPr>
        <w:t>’ in Table</w:t>
      </w:r>
      <w:r w:rsidR="00E24E9C">
        <w:rPr>
          <w:rFonts w:ascii="Open Sans" w:eastAsia="Times New Roman" w:hAnsi="Open Sans" w:cs="Open Sans"/>
          <w:sz w:val="20"/>
          <w:szCs w:val="20"/>
        </w:rPr>
        <w:t> </w:t>
      </w:r>
      <w:r w:rsidRPr="00A62FCB">
        <w:rPr>
          <w:rFonts w:ascii="Open Sans" w:eastAsia="Times New Roman" w:hAnsi="Open Sans" w:cs="Open Sans"/>
          <w:sz w:val="20"/>
          <w:szCs w:val="20"/>
        </w:rPr>
        <w:t>1</w:t>
      </w:r>
      <w:r w:rsidR="00172590">
        <w:rPr>
          <w:rFonts w:ascii="Open Sans" w:eastAsia="Times New Roman" w:hAnsi="Open Sans" w:cs="Open Sans"/>
          <w:sz w:val="20"/>
          <w:szCs w:val="20"/>
        </w:rPr>
        <w:t>’s ‘Shared care requirement to be retained?’ column</w:t>
      </w:r>
      <w:r w:rsidRPr="00A62FCB">
        <w:rPr>
          <w:rFonts w:ascii="Open Sans" w:eastAsia="Times New Roman" w:hAnsi="Open Sans" w:cs="Open Sans"/>
          <w:sz w:val="20"/>
          <w:szCs w:val="20"/>
        </w:rPr>
        <w:t>)</w:t>
      </w:r>
      <w:r w:rsidR="00E24E9C">
        <w:rPr>
          <w:rFonts w:ascii="Open Sans" w:eastAsia="Times New Roman" w:hAnsi="Open Sans" w:cs="Open Sans"/>
          <w:sz w:val="20"/>
          <w:szCs w:val="20"/>
        </w:rPr>
        <w:t xml:space="preserve">. The PBAC </w:t>
      </w:r>
      <w:r w:rsidRPr="00A62FCB">
        <w:rPr>
          <w:rFonts w:ascii="Open Sans" w:eastAsia="Times New Roman" w:hAnsi="Open Sans" w:cs="Open Sans"/>
          <w:sz w:val="20"/>
          <w:szCs w:val="20"/>
        </w:rPr>
        <w:t>not</w:t>
      </w:r>
      <w:r w:rsidR="00E24E9C">
        <w:rPr>
          <w:rFonts w:ascii="Open Sans" w:eastAsia="Times New Roman" w:hAnsi="Open Sans" w:cs="Open Sans"/>
          <w:sz w:val="20"/>
          <w:szCs w:val="20"/>
        </w:rPr>
        <w:t>ed</w:t>
      </w:r>
      <w:r w:rsidRPr="00A62FCB">
        <w:rPr>
          <w:rFonts w:ascii="Open Sans" w:eastAsia="Times New Roman" w:hAnsi="Open Sans" w:cs="Open Sans"/>
          <w:sz w:val="20"/>
          <w:szCs w:val="20"/>
        </w:rPr>
        <w:t xml:space="preserve"> that professional practice standards for nurse practitioners, together with a nurse practitioner’s individual scope of practice and setting of care, would largely determine the degree of consultation or collaboration that occurs with medical practitioners. </w:t>
      </w:r>
    </w:p>
    <w:p w14:paraId="1AD8DE55" w14:textId="7B311163" w:rsidR="00142E8B" w:rsidRPr="00A62FCB" w:rsidRDefault="00142E8B" w:rsidP="00404B59">
      <w:pPr>
        <w:spacing w:after="90" w:line="290" w:lineRule="atLeast"/>
        <w:ind w:right="147"/>
        <w:jc w:val="both"/>
        <w:rPr>
          <w:rFonts w:ascii="Open Sans" w:eastAsia="Times New Roman" w:hAnsi="Open Sans" w:cs="Open Sans"/>
          <w:i/>
          <w:iCs/>
          <w:sz w:val="20"/>
          <w:szCs w:val="20"/>
          <w:lang w:eastAsia="en-AU"/>
        </w:rPr>
      </w:pPr>
      <w:r w:rsidRPr="00A62FCB">
        <w:rPr>
          <w:rFonts w:ascii="Open Sans" w:eastAsia="Times New Roman" w:hAnsi="Open Sans" w:cs="Open Sans"/>
          <w:sz w:val="20"/>
          <w:szCs w:val="20"/>
        </w:rPr>
        <w:t>For some medicines (marked as ‘Y</w:t>
      </w:r>
      <w:r w:rsidR="00172590">
        <w:rPr>
          <w:rFonts w:ascii="Open Sans" w:eastAsia="Times New Roman" w:hAnsi="Open Sans" w:cs="Open Sans"/>
          <w:sz w:val="20"/>
          <w:szCs w:val="20"/>
        </w:rPr>
        <w:t>es</w:t>
      </w:r>
      <w:r w:rsidRPr="00A62FCB">
        <w:rPr>
          <w:rFonts w:ascii="Open Sans" w:eastAsia="Times New Roman" w:hAnsi="Open Sans" w:cs="Open Sans"/>
          <w:sz w:val="20"/>
          <w:szCs w:val="20"/>
        </w:rPr>
        <w:t>’ in Table 1</w:t>
      </w:r>
      <w:r w:rsidR="00172590">
        <w:rPr>
          <w:rFonts w:ascii="Open Sans" w:eastAsia="Times New Roman" w:hAnsi="Open Sans" w:cs="Open Sans"/>
          <w:sz w:val="20"/>
          <w:szCs w:val="20"/>
        </w:rPr>
        <w:t>’s ‘Shared care requirement to be retained?’ column</w:t>
      </w:r>
      <w:r w:rsidRPr="00A62FCB">
        <w:rPr>
          <w:rFonts w:ascii="Open Sans" w:eastAsia="Times New Roman" w:hAnsi="Open Sans" w:cs="Open Sans"/>
          <w:sz w:val="20"/>
          <w:szCs w:val="20"/>
        </w:rPr>
        <w:t xml:space="preserve">) the PBAC recommended that the SCM administrative note be replaced by a restriction criterion for PBS prescribing by a nurse practitioner requiring the patient’s care to be shared with a medical practitioner as follows:  </w:t>
      </w:r>
      <w:r w:rsidRPr="00A62FCB">
        <w:rPr>
          <w:rFonts w:ascii="Open Sans" w:eastAsia="Times New Roman" w:hAnsi="Open Sans" w:cs="Open Sans"/>
          <w:i/>
          <w:iCs/>
          <w:sz w:val="20"/>
          <w:szCs w:val="20"/>
          <w:lang w:eastAsia="en-AU"/>
        </w:rPr>
        <w:t>Must be treated by a health practitioner who is any of: (</w:t>
      </w:r>
      <w:proofErr w:type="spellStart"/>
      <w:r w:rsidRPr="00A62FCB">
        <w:rPr>
          <w:rFonts w:ascii="Open Sans" w:eastAsia="Times New Roman" w:hAnsi="Open Sans" w:cs="Open Sans"/>
          <w:i/>
          <w:iCs/>
          <w:sz w:val="20"/>
          <w:szCs w:val="20"/>
          <w:lang w:eastAsia="en-AU"/>
        </w:rPr>
        <w:t>i</w:t>
      </w:r>
      <w:proofErr w:type="spellEnd"/>
      <w:r w:rsidRPr="00A62FCB">
        <w:rPr>
          <w:rFonts w:ascii="Open Sans" w:eastAsia="Times New Roman" w:hAnsi="Open Sans" w:cs="Open Sans"/>
          <w:i/>
          <w:iCs/>
          <w:sz w:val="20"/>
          <w:szCs w:val="20"/>
          <w:lang w:eastAsia="en-AU"/>
        </w:rPr>
        <w:t>) a medical practitioner, (ii) an authorised PBS prescriber who is not a medical practitioner, but who is: (a) sharing care of the patient with at least one medical practitioner; (b) intending to share care of the patient with a medical practitioner.</w:t>
      </w:r>
    </w:p>
    <w:p w14:paraId="2957ACA9" w14:textId="4A7166AE" w:rsidR="00A65430" w:rsidRPr="004A05F3" w:rsidRDefault="00A65430" w:rsidP="00850B45">
      <w:pPr>
        <w:pStyle w:val="Heading2"/>
        <w:jc w:val="both"/>
        <w:rPr>
          <w:rFonts w:eastAsiaTheme="majorEastAsia"/>
        </w:rPr>
      </w:pPr>
      <w:r w:rsidRPr="004A05F3">
        <w:rPr>
          <w:rFonts w:eastAsiaTheme="majorEastAsia"/>
        </w:rPr>
        <w:t xml:space="preserve">Implementation </w:t>
      </w:r>
    </w:p>
    <w:p w14:paraId="0CD62784" w14:textId="737F2965" w:rsidR="00142E8B" w:rsidRPr="00A62FCB" w:rsidRDefault="003B4A5A" w:rsidP="00404B59">
      <w:pPr>
        <w:spacing w:after="90" w:line="290" w:lineRule="atLeast"/>
        <w:ind w:right="147"/>
        <w:jc w:val="both"/>
        <w:rPr>
          <w:rFonts w:ascii="Open Sans" w:eastAsia="Times New Roman" w:hAnsi="Open Sans" w:cs="Open Sans"/>
          <w:sz w:val="20"/>
          <w:szCs w:val="20"/>
          <w:lang w:eastAsia="en-AU"/>
        </w:rPr>
      </w:pPr>
      <w:r w:rsidRPr="00A62FCB">
        <w:rPr>
          <w:rFonts w:ascii="Open Sans" w:eastAsia="Times New Roman" w:hAnsi="Open Sans" w:cs="Open Sans"/>
          <w:sz w:val="20"/>
          <w:szCs w:val="20"/>
        </w:rPr>
        <w:t>Changes to the SCM administrative note</w:t>
      </w:r>
      <w:r w:rsidR="00142E8B" w:rsidRPr="00A62FCB">
        <w:rPr>
          <w:rFonts w:ascii="Open Sans" w:eastAsia="Times New Roman" w:hAnsi="Open Sans" w:cs="Open Sans"/>
          <w:sz w:val="20"/>
          <w:szCs w:val="20"/>
        </w:rPr>
        <w:t xml:space="preserve"> were implemented on 1 November 2024. Importantly, these changes only relate to eligibility for prescriptions </w:t>
      </w:r>
      <w:r w:rsidR="008D5F47">
        <w:rPr>
          <w:rFonts w:ascii="Open Sans" w:eastAsia="Times New Roman" w:hAnsi="Open Sans" w:cs="Open Sans"/>
          <w:sz w:val="20"/>
          <w:szCs w:val="20"/>
        </w:rPr>
        <w:t xml:space="preserve">written </w:t>
      </w:r>
      <w:r w:rsidR="00142E8B" w:rsidRPr="00A62FCB">
        <w:rPr>
          <w:rFonts w:ascii="Open Sans" w:eastAsia="Times New Roman" w:hAnsi="Open Sans" w:cs="Open Sans"/>
          <w:sz w:val="20"/>
          <w:szCs w:val="20"/>
        </w:rPr>
        <w:t>by a nurse practitioner to attract a PBS subsidy. Prescribing by nurse practitioners continues to be limited by an individual’s scope of practice, adherence to professional practice standards as set by the Nursing and Midwifery Board of Australia, and state and or territory</w:t>
      </w:r>
      <w:r w:rsidR="00850B45">
        <w:rPr>
          <w:rFonts w:ascii="Open Sans" w:eastAsia="Times New Roman" w:hAnsi="Open Sans" w:cs="Open Sans"/>
          <w:sz w:val="20"/>
          <w:szCs w:val="20"/>
        </w:rPr>
        <w:t xml:space="preserve"> </w:t>
      </w:r>
      <w:r w:rsidR="00172590">
        <w:rPr>
          <w:rFonts w:ascii="Open Sans" w:eastAsia="Times New Roman" w:hAnsi="Open Sans" w:cs="Open Sans"/>
          <w:sz w:val="20"/>
          <w:szCs w:val="20"/>
        </w:rPr>
        <w:t>law</w:t>
      </w:r>
      <w:r w:rsidR="00142E8B" w:rsidRPr="00A62FCB">
        <w:rPr>
          <w:rFonts w:ascii="Open Sans" w:eastAsia="Times New Roman" w:hAnsi="Open Sans" w:cs="Open Sans"/>
          <w:sz w:val="20"/>
          <w:szCs w:val="20"/>
        </w:rPr>
        <w:t xml:space="preserve">. </w:t>
      </w:r>
    </w:p>
    <w:p w14:paraId="3EBFCD6E" w14:textId="56BF06FE" w:rsidR="00142E8B" w:rsidRDefault="00142E8B" w:rsidP="00404B59">
      <w:pPr>
        <w:spacing w:after="90" w:line="290" w:lineRule="atLeast"/>
        <w:ind w:right="147"/>
        <w:jc w:val="both"/>
        <w:rPr>
          <w:rFonts w:ascii="Open Sans" w:eastAsia="Times New Roman" w:hAnsi="Open Sans" w:cs="Open Sans"/>
          <w:sz w:val="20"/>
          <w:szCs w:val="20"/>
        </w:rPr>
      </w:pPr>
      <w:r w:rsidRPr="00A62FCB" w:rsidDel="00224E03">
        <w:rPr>
          <w:rFonts w:ascii="Open Sans" w:eastAsia="Times New Roman" w:hAnsi="Open Sans" w:cs="Open Sans"/>
          <w:sz w:val="20"/>
          <w:szCs w:val="20"/>
        </w:rPr>
        <w:t xml:space="preserve">The </w:t>
      </w:r>
      <w:r w:rsidRPr="00A62FCB">
        <w:rPr>
          <w:rFonts w:ascii="Open Sans" w:eastAsia="Times New Roman" w:hAnsi="Open Sans" w:cs="Open Sans"/>
          <w:sz w:val="20"/>
          <w:szCs w:val="20"/>
        </w:rPr>
        <w:t xml:space="preserve">PBAC’s </w:t>
      </w:r>
      <w:r w:rsidRPr="00A62FCB" w:rsidDel="00224E03">
        <w:rPr>
          <w:rFonts w:ascii="Open Sans" w:eastAsia="Times New Roman" w:hAnsi="Open Sans" w:cs="Open Sans"/>
          <w:sz w:val="20"/>
          <w:szCs w:val="20"/>
        </w:rPr>
        <w:t>recommendations appl</w:t>
      </w:r>
      <w:r w:rsidRPr="00A62FCB">
        <w:rPr>
          <w:rFonts w:ascii="Open Sans" w:eastAsia="Times New Roman" w:hAnsi="Open Sans" w:cs="Open Sans"/>
          <w:sz w:val="20"/>
          <w:szCs w:val="20"/>
        </w:rPr>
        <w:t>ied</w:t>
      </w:r>
      <w:r w:rsidRPr="00A62FCB" w:rsidDel="00224E03">
        <w:rPr>
          <w:rFonts w:ascii="Open Sans" w:eastAsia="Times New Roman" w:hAnsi="Open Sans" w:cs="Open Sans"/>
          <w:sz w:val="20"/>
          <w:szCs w:val="20"/>
        </w:rPr>
        <w:t xml:space="preserve"> to </w:t>
      </w:r>
      <w:r w:rsidR="00E24E9C">
        <w:rPr>
          <w:rFonts w:ascii="Open Sans" w:eastAsia="Times New Roman" w:hAnsi="Open Sans" w:cs="Open Sans"/>
          <w:sz w:val="20"/>
          <w:szCs w:val="20"/>
        </w:rPr>
        <w:t xml:space="preserve">PBS </w:t>
      </w:r>
      <w:r w:rsidRPr="00A62FCB" w:rsidDel="00224E03">
        <w:rPr>
          <w:rFonts w:ascii="Open Sans" w:eastAsia="Times New Roman" w:hAnsi="Open Sans" w:cs="Open Sans"/>
          <w:sz w:val="20"/>
          <w:szCs w:val="20"/>
        </w:rPr>
        <w:t xml:space="preserve">listings subject to a SCM administrative note </w:t>
      </w:r>
      <w:proofErr w:type="gramStart"/>
      <w:r w:rsidRPr="00A62FCB" w:rsidDel="00224E03">
        <w:rPr>
          <w:rFonts w:ascii="Open Sans" w:eastAsia="Times New Roman" w:hAnsi="Open Sans" w:cs="Open Sans"/>
          <w:sz w:val="20"/>
          <w:szCs w:val="20"/>
        </w:rPr>
        <w:t>at</w:t>
      </w:r>
      <w:proofErr w:type="gramEnd"/>
      <w:r w:rsidRPr="00A62FCB" w:rsidDel="00224E03">
        <w:rPr>
          <w:rFonts w:ascii="Open Sans" w:eastAsia="Times New Roman" w:hAnsi="Open Sans" w:cs="Open Sans"/>
          <w:sz w:val="20"/>
          <w:szCs w:val="20"/>
        </w:rPr>
        <w:t xml:space="preserve"> July</w:t>
      </w:r>
      <w:r w:rsidR="00E24E9C">
        <w:rPr>
          <w:rFonts w:ascii="Open Sans" w:eastAsia="Times New Roman" w:hAnsi="Open Sans" w:cs="Open Sans"/>
          <w:sz w:val="20"/>
          <w:szCs w:val="20"/>
        </w:rPr>
        <w:t> </w:t>
      </w:r>
      <w:r w:rsidRPr="00A62FCB" w:rsidDel="00224E03">
        <w:rPr>
          <w:rFonts w:ascii="Open Sans" w:eastAsia="Times New Roman" w:hAnsi="Open Sans" w:cs="Open Sans"/>
          <w:sz w:val="20"/>
          <w:szCs w:val="20"/>
        </w:rPr>
        <w:t xml:space="preserve">2024. </w:t>
      </w:r>
      <w:r w:rsidRPr="00A62FCB">
        <w:rPr>
          <w:rFonts w:ascii="Open Sans" w:eastAsia="Times New Roman" w:hAnsi="Open Sans" w:cs="Open Sans"/>
          <w:sz w:val="20"/>
          <w:szCs w:val="20"/>
        </w:rPr>
        <w:t>Some medicines are listed in more than one section of the Schedule or for more than one indication</w:t>
      </w:r>
      <w:r w:rsidR="00E24E9C">
        <w:rPr>
          <w:rFonts w:ascii="Open Sans" w:eastAsia="Times New Roman" w:hAnsi="Open Sans" w:cs="Open Sans"/>
          <w:sz w:val="20"/>
          <w:szCs w:val="20"/>
        </w:rPr>
        <w:t>.</w:t>
      </w:r>
      <w:r w:rsidRPr="00A62FCB">
        <w:rPr>
          <w:rFonts w:ascii="Open Sans" w:eastAsia="Times New Roman" w:hAnsi="Open Sans" w:cs="Open Sans"/>
          <w:sz w:val="20"/>
          <w:szCs w:val="20"/>
        </w:rPr>
        <w:t xml:space="preserve"> </w:t>
      </w:r>
      <w:r w:rsidR="00E24E9C">
        <w:rPr>
          <w:rFonts w:ascii="Open Sans" w:eastAsia="Times New Roman" w:hAnsi="Open Sans" w:cs="Open Sans"/>
          <w:sz w:val="20"/>
          <w:szCs w:val="20"/>
        </w:rPr>
        <w:t>PBS listings</w:t>
      </w:r>
      <w:r w:rsidRPr="00A62FCB">
        <w:rPr>
          <w:rFonts w:ascii="Open Sans" w:eastAsia="Times New Roman" w:hAnsi="Open Sans" w:cs="Open Sans"/>
          <w:sz w:val="20"/>
          <w:szCs w:val="20"/>
        </w:rPr>
        <w:t xml:space="preserve"> for the same medicine may have different conditions for prescribing. </w:t>
      </w:r>
      <w:bookmarkStart w:id="0" w:name="_Hlk180586156"/>
      <w:r w:rsidRPr="00A62FCB">
        <w:rPr>
          <w:rFonts w:ascii="Open Sans" w:eastAsia="Times New Roman" w:hAnsi="Open Sans" w:cs="Open Sans"/>
          <w:sz w:val="20"/>
          <w:szCs w:val="20"/>
        </w:rPr>
        <w:t xml:space="preserve">Medicines listed on the PBS are updated monthly and </w:t>
      </w:r>
      <w:r w:rsidR="00252739" w:rsidRPr="00A62FCB">
        <w:rPr>
          <w:rFonts w:ascii="Open Sans" w:eastAsia="Times New Roman" w:hAnsi="Open Sans" w:cs="Open Sans"/>
          <w:sz w:val="20"/>
          <w:szCs w:val="20"/>
        </w:rPr>
        <w:t xml:space="preserve">PBS </w:t>
      </w:r>
      <w:r w:rsidRPr="00A62FCB">
        <w:rPr>
          <w:rFonts w:ascii="Open Sans" w:eastAsia="Times New Roman" w:hAnsi="Open Sans" w:cs="Open Sans"/>
          <w:sz w:val="20"/>
          <w:szCs w:val="20"/>
        </w:rPr>
        <w:t xml:space="preserve">prescribers should check the schedule </w:t>
      </w:r>
      <w:r w:rsidR="00252739" w:rsidRPr="00A62FCB">
        <w:rPr>
          <w:rFonts w:ascii="Open Sans" w:eastAsia="Times New Roman" w:hAnsi="Open Sans" w:cs="Open Sans"/>
          <w:sz w:val="20"/>
          <w:szCs w:val="20"/>
        </w:rPr>
        <w:t xml:space="preserve">regularly </w:t>
      </w:r>
      <w:r w:rsidR="003B4A5A" w:rsidRPr="00A62FCB">
        <w:rPr>
          <w:rFonts w:ascii="Open Sans" w:eastAsia="Times New Roman" w:hAnsi="Open Sans" w:cs="Open Sans"/>
          <w:sz w:val="20"/>
          <w:szCs w:val="20"/>
        </w:rPr>
        <w:t>to</w:t>
      </w:r>
      <w:r w:rsidRPr="00A62FCB">
        <w:rPr>
          <w:rFonts w:ascii="Open Sans" w:eastAsia="Times New Roman" w:hAnsi="Open Sans" w:cs="Open Sans"/>
          <w:sz w:val="20"/>
          <w:szCs w:val="20"/>
        </w:rPr>
        <w:t xml:space="preserve"> ensure </w:t>
      </w:r>
      <w:r w:rsidR="003B4A5A" w:rsidRPr="00A62FCB">
        <w:rPr>
          <w:rFonts w:ascii="Open Sans" w:eastAsia="Times New Roman" w:hAnsi="Open Sans" w:cs="Open Sans"/>
          <w:sz w:val="20"/>
          <w:szCs w:val="20"/>
        </w:rPr>
        <w:t xml:space="preserve">they </w:t>
      </w:r>
      <w:r w:rsidR="00172590">
        <w:rPr>
          <w:rFonts w:ascii="Open Sans" w:eastAsia="Times New Roman" w:hAnsi="Open Sans" w:cs="Open Sans"/>
          <w:sz w:val="20"/>
          <w:szCs w:val="20"/>
        </w:rPr>
        <w:t xml:space="preserve">prescribe </w:t>
      </w:r>
      <w:r w:rsidRPr="00A62FCB">
        <w:rPr>
          <w:rFonts w:ascii="Open Sans" w:eastAsia="Times New Roman" w:hAnsi="Open Sans" w:cs="Open Sans"/>
          <w:sz w:val="20"/>
          <w:szCs w:val="20"/>
        </w:rPr>
        <w:t xml:space="preserve">in accordance with any restrictions specified in </w:t>
      </w:r>
      <w:r w:rsidR="003B4A5A" w:rsidRPr="00A62FCB">
        <w:rPr>
          <w:rFonts w:ascii="Open Sans" w:eastAsia="Times New Roman" w:hAnsi="Open Sans" w:cs="Open Sans"/>
          <w:sz w:val="20"/>
          <w:szCs w:val="20"/>
        </w:rPr>
        <w:t xml:space="preserve">a </w:t>
      </w:r>
      <w:r w:rsidRPr="00A62FCB">
        <w:rPr>
          <w:rFonts w:ascii="Open Sans" w:eastAsia="Times New Roman" w:hAnsi="Open Sans" w:cs="Open Sans"/>
          <w:sz w:val="20"/>
          <w:szCs w:val="20"/>
        </w:rPr>
        <w:t>listing.</w:t>
      </w:r>
      <w:bookmarkEnd w:id="0"/>
    </w:p>
    <w:p w14:paraId="3C4EEE4D" w14:textId="7F3243B5" w:rsidR="00A62FCB" w:rsidRPr="00A62FCB" w:rsidRDefault="00A62FCB" w:rsidP="00404B59">
      <w:pPr>
        <w:spacing w:after="90" w:line="290" w:lineRule="atLeast"/>
        <w:ind w:right="147"/>
        <w:jc w:val="both"/>
        <w:rPr>
          <w:rFonts w:ascii="Open Sans" w:eastAsia="Times New Roman" w:hAnsi="Open Sans" w:cs="Open Sans"/>
          <w:sz w:val="20"/>
          <w:szCs w:val="20"/>
          <w:lang w:eastAsia="en-AU"/>
        </w:rPr>
      </w:pPr>
      <w:r>
        <w:rPr>
          <w:rFonts w:ascii="Open Sans" w:eastAsia="Times New Roman" w:hAnsi="Open Sans" w:cs="Open Sans"/>
          <w:sz w:val="20"/>
          <w:szCs w:val="20"/>
        </w:rPr>
        <w:t>More information can be found by visiting ‘</w:t>
      </w:r>
      <w:r w:rsidRPr="00A62FCB">
        <w:rPr>
          <w:rFonts w:ascii="Open Sans" w:eastAsia="Times New Roman" w:hAnsi="Open Sans" w:cs="Open Sans"/>
          <w:sz w:val="20"/>
          <w:szCs w:val="20"/>
        </w:rPr>
        <w:t xml:space="preserve">Review of PBS items for prescribing by nurse practitioners and endorsed </w:t>
      </w:r>
      <w:proofErr w:type="gramStart"/>
      <w:r w:rsidRPr="00A62FCB">
        <w:rPr>
          <w:rFonts w:ascii="Open Sans" w:eastAsia="Times New Roman" w:hAnsi="Open Sans" w:cs="Open Sans"/>
          <w:sz w:val="20"/>
          <w:szCs w:val="20"/>
        </w:rPr>
        <w:t>midwives</w:t>
      </w:r>
      <w:r>
        <w:rPr>
          <w:rFonts w:ascii="Open Sans" w:eastAsia="Times New Roman" w:hAnsi="Open Sans" w:cs="Open Sans"/>
          <w:sz w:val="20"/>
          <w:szCs w:val="20"/>
        </w:rPr>
        <w:t>‘ on</w:t>
      </w:r>
      <w:proofErr w:type="gramEnd"/>
      <w:r>
        <w:rPr>
          <w:rFonts w:ascii="Open Sans" w:eastAsia="Times New Roman" w:hAnsi="Open Sans" w:cs="Open Sans"/>
          <w:sz w:val="20"/>
          <w:szCs w:val="20"/>
        </w:rPr>
        <w:t xml:space="preserve"> the PBS website (</w:t>
      </w:r>
      <w:hyperlink r:id="rId9" w:history="1">
        <w:r w:rsidRPr="007C7AEF">
          <w:rPr>
            <w:rStyle w:val="Hyperlink"/>
            <w:rFonts w:ascii="Open Sans" w:eastAsia="Times New Roman" w:hAnsi="Open Sans" w:cs="Open Sans"/>
            <w:sz w:val="20"/>
            <w:szCs w:val="20"/>
          </w:rPr>
          <w:t>www.pbs.gov.au</w:t>
        </w:r>
      </w:hyperlink>
      <w:r>
        <w:rPr>
          <w:rFonts w:ascii="Open Sans" w:eastAsia="Times New Roman" w:hAnsi="Open Sans" w:cs="Open Sans"/>
          <w:sz w:val="20"/>
          <w:szCs w:val="20"/>
        </w:rPr>
        <w:t xml:space="preserve">). </w:t>
      </w:r>
    </w:p>
    <w:p w14:paraId="29A9704A" w14:textId="6FD36B6D" w:rsidR="00EA5FEB" w:rsidRPr="00A65430" w:rsidRDefault="00142E8B" w:rsidP="00850B45">
      <w:pPr>
        <w:keepNext/>
        <w:spacing w:after="240" w:line="300" w:lineRule="atLeast"/>
        <w:jc w:val="both"/>
        <w:rPr>
          <w:rFonts w:ascii="Arial" w:eastAsiaTheme="majorEastAsia" w:hAnsi="Arial" w:cstheme="majorBidi"/>
          <w:b/>
          <w:iCs/>
        </w:rPr>
      </w:pPr>
      <w:r w:rsidRPr="00A65430">
        <w:rPr>
          <w:rFonts w:ascii="Arial" w:eastAsiaTheme="majorEastAsia" w:hAnsi="Arial" w:cstheme="majorBidi"/>
          <w:b/>
          <w:iCs/>
        </w:rPr>
        <w:lastRenderedPageBreak/>
        <w:t xml:space="preserve">Table 1: </w:t>
      </w:r>
      <w:r w:rsidR="00EA5FEB" w:rsidRPr="00A65430">
        <w:rPr>
          <w:rFonts w:ascii="Arial" w:eastAsiaTheme="majorEastAsia" w:hAnsi="Arial" w:cstheme="majorBidi"/>
          <w:b/>
          <w:iCs/>
        </w:rPr>
        <w:t xml:space="preserve">Summary </w:t>
      </w:r>
      <w:r w:rsidR="00BC6201">
        <w:rPr>
          <w:rFonts w:ascii="Arial" w:eastAsiaTheme="majorEastAsia" w:hAnsi="Arial" w:cstheme="majorBidi"/>
          <w:b/>
          <w:iCs/>
        </w:rPr>
        <w:t xml:space="preserve">of </w:t>
      </w:r>
      <w:r w:rsidR="00EA5FEB" w:rsidRPr="00A65430">
        <w:rPr>
          <w:rFonts w:ascii="Arial" w:eastAsiaTheme="majorEastAsia" w:hAnsi="Arial" w:cstheme="majorBidi"/>
          <w:b/>
          <w:iCs/>
        </w:rPr>
        <w:t xml:space="preserve">recommendations </w:t>
      </w:r>
      <w:r w:rsidR="00BC6201">
        <w:rPr>
          <w:rFonts w:ascii="Arial" w:eastAsiaTheme="majorEastAsia" w:hAnsi="Arial" w:cstheme="majorBidi"/>
          <w:b/>
          <w:iCs/>
        </w:rPr>
        <w:t xml:space="preserve">made by the PBAC </w:t>
      </w:r>
      <w:r w:rsidR="00F77887">
        <w:rPr>
          <w:rFonts w:ascii="Arial" w:eastAsiaTheme="majorEastAsia" w:hAnsi="Arial" w:cstheme="majorBidi"/>
          <w:b/>
          <w:iCs/>
        </w:rPr>
        <w:t>at its</w:t>
      </w:r>
      <w:r w:rsidR="00BC6201">
        <w:rPr>
          <w:rFonts w:ascii="Arial" w:eastAsiaTheme="majorEastAsia" w:hAnsi="Arial" w:cstheme="majorBidi"/>
          <w:b/>
          <w:iCs/>
        </w:rPr>
        <w:t xml:space="preserve"> July 2024 meeting </w:t>
      </w:r>
      <w:r w:rsidR="00F77887">
        <w:rPr>
          <w:rFonts w:ascii="Arial" w:eastAsiaTheme="majorEastAsia" w:hAnsi="Arial" w:cstheme="majorBidi"/>
          <w:b/>
          <w:iCs/>
        </w:rPr>
        <w:t xml:space="preserve">– medicines with a Shared Care Model note for PBS prescribing by nurse practitioners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10"/>
        <w:gridCol w:w="5169"/>
      </w:tblGrid>
      <w:tr w:rsidR="00EA5FEB" w:rsidRPr="00EA5FEB" w14:paraId="723C6E00" w14:textId="77777777" w:rsidTr="00C25949">
        <w:trPr>
          <w:trHeight w:val="366"/>
          <w:tblHeader/>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4457F3A" w14:textId="5BD4530D" w:rsidR="00EA5FEB" w:rsidRPr="00EA5FEB" w:rsidRDefault="00EA5FEB" w:rsidP="00850B45">
            <w:pPr>
              <w:jc w:val="both"/>
              <w:rPr>
                <w:rFonts w:ascii="Arial Narrow" w:eastAsia="Calibri" w:hAnsi="Arial Narrow" w:cs="Arial"/>
                <w:b/>
                <w:bCs/>
                <w:kern w:val="2"/>
                <w:sz w:val="20"/>
                <w:szCs w:val="20"/>
                <w14:ligatures w14:val="standardContextual"/>
              </w:rPr>
            </w:pPr>
            <w:r w:rsidRPr="00EA5FEB">
              <w:rPr>
                <w:rFonts w:ascii="Arial Narrow" w:eastAsia="Calibri" w:hAnsi="Arial Narrow" w:cs="Arial"/>
                <w:b/>
                <w:bCs/>
                <w:kern w:val="2"/>
                <w:sz w:val="20"/>
                <w:szCs w:val="20"/>
                <w14:ligatures w14:val="standardContextual"/>
              </w:rPr>
              <w:t xml:space="preserve">Medicine with </w:t>
            </w:r>
            <w:r w:rsidR="00BC6201">
              <w:rPr>
                <w:rFonts w:ascii="Arial Narrow" w:eastAsia="Calibri" w:hAnsi="Arial Narrow" w:cs="Arial"/>
                <w:b/>
                <w:bCs/>
                <w:kern w:val="2"/>
                <w:sz w:val="20"/>
                <w:szCs w:val="20"/>
                <w14:ligatures w14:val="standardContextual"/>
              </w:rPr>
              <w:t>Shared Care Model (</w:t>
            </w:r>
            <w:r w:rsidRPr="00EA5FEB">
              <w:rPr>
                <w:rFonts w:ascii="Arial Narrow" w:eastAsia="Calibri" w:hAnsi="Arial Narrow" w:cs="Arial"/>
                <w:b/>
                <w:bCs/>
                <w:kern w:val="2"/>
                <w:sz w:val="20"/>
                <w:szCs w:val="20"/>
                <w14:ligatures w14:val="standardContextual"/>
              </w:rPr>
              <w:t>SCM</w:t>
            </w:r>
            <w:r w:rsidR="00BC6201">
              <w:rPr>
                <w:rFonts w:ascii="Arial Narrow" w:eastAsia="Calibri" w:hAnsi="Arial Narrow" w:cs="Arial"/>
                <w:b/>
                <w:bCs/>
                <w:kern w:val="2"/>
                <w:sz w:val="20"/>
                <w:szCs w:val="20"/>
                <w14:ligatures w14:val="standardContextual"/>
              </w:rPr>
              <w:t>)</w:t>
            </w:r>
            <w:r w:rsidRPr="00EA5FEB">
              <w:rPr>
                <w:rFonts w:ascii="Arial Narrow" w:eastAsia="Calibri" w:hAnsi="Arial Narrow" w:cs="Arial"/>
                <w:b/>
                <w:bCs/>
                <w:kern w:val="2"/>
                <w:sz w:val="20"/>
                <w:szCs w:val="20"/>
                <w14:ligatures w14:val="standardContextual"/>
              </w:rPr>
              <w:t xml:space="preserve"> note at July 2024</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2EC4B0" w14:textId="04939C22" w:rsidR="00EA5FEB" w:rsidRPr="00EA5FEB" w:rsidRDefault="00EA5FEB" w:rsidP="00850B45">
            <w:pPr>
              <w:jc w:val="both"/>
              <w:rPr>
                <w:rFonts w:ascii="Arial Narrow" w:eastAsia="Calibri" w:hAnsi="Arial Narrow" w:cs="Arial"/>
                <w:b/>
                <w:bCs/>
                <w:kern w:val="2"/>
                <w:sz w:val="20"/>
                <w:szCs w:val="20"/>
                <w14:ligatures w14:val="standardContextual"/>
              </w:rPr>
            </w:pPr>
            <w:r w:rsidRPr="00EA5FEB">
              <w:rPr>
                <w:rFonts w:ascii="Arial Narrow" w:eastAsia="Calibri" w:hAnsi="Arial Narrow" w:cs="Arial"/>
                <w:b/>
                <w:bCs/>
                <w:kern w:val="2"/>
                <w:sz w:val="20"/>
                <w:szCs w:val="20"/>
                <w14:ligatures w14:val="standardContextual"/>
              </w:rPr>
              <w:t>PBAC consideration</w:t>
            </w:r>
          </w:p>
        </w:tc>
      </w:tr>
      <w:tr w:rsidR="00EA5FEB" w:rsidRPr="00EA5FEB" w14:paraId="7A5DEF28" w14:textId="77777777" w:rsidTr="00C512E3">
        <w:trPr>
          <w:trHeight w:val="661"/>
          <w:tblHeader/>
        </w:trPr>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54DC94" w14:textId="77777777" w:rsidR="00EA5FEB" w:rsidRPr="00EA5FEB" w:rsidRDefault="00EA5FEB" w:rsidP="00850B45">
            <w:pPr>
              <w:jc w:val="both"/>
              <w:rPr>
                <w:rFonts w:ascii="Arial Narrow" w:eastAsia="Calibri" w:hAnsi="Arial Narrow" w:cs="Arial"/>
                <w:b/>
                <w:bCs/>
                <w:kern w:val="2"/>
                <w:sz w:val="20"/>
                <w:szCs w:val="20"/>
                <w14:ligatures w14:val="standardContextual"/>
              </w:rPr>
            </w:pPr>
          </w:p>
        </w:tc>
        <w:tc>
          <w:tcPr>
            <w:tcW w:w="1210" w:type="dxa"/>
            <w:tcBorders>
              <w:top w:val="single" w:sz="4" w:space="0" w:color="auto"/>
              <w:left w:val="single" w:sz="4" w:space="0" w:color="auto"/>
              <w:bottom w:val="single" w:sz="4" w:space="0" w:color="auto"/>
              <w:right w:val="single" w:sz="4" w:space="0" w:color="auto"/>
            </w:tcBorders>
            <w:shd w:val="clear" w:color="auto" w:fill="auto"/>
            <w:hideMark/>
          </w:tcPr>
          <w:p w14:paraId="399EE6DE" w14:textId="77777777" w:rsidR="00EA5FEB" w:rsidRPr="00EA5FEB" w:rsidRDefault="00EA5FEB" w:rsidP="00850B45">
            <w:pPr>
              <w:jc w:val="both"/>
              <w:rPr>
                <w:rFonts w:ascii="Arial Narrow" w:eastAsia="Calibri" w:hAnsi="Arial Narrow" w:cs="Arial"/>
                <w:b/>
                <w:bCs/>
                <w:kern w:val="2"/>
                <w:sz w:val="20"/>
                <w:szCs w:val="20"/>
                <w14:ligatures w14:val="standardContextual"/>
              </w:rPr>
            </w:pPr>
            <w:r w:rsidRPr="00EA5FEB">
              <w:rPr>
                <w:rFonts w:ascii="Arial Narrow" w:eastAsia="Calibri" w:hAnsi="Arial Narrow" w:cs="Arial"/>
                <w:b/>
                <w:bCs/>
                <w:kern w:val="2"/>
                <w:sz w:val="20"/>
                <w:szCs w:val="20"/>
                <w14:ligatures w14:val="standardContextual"/>
              </w:rPr>
              <w:t>Shared care requirement to be retained? (Yes/No)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200BA8F8" w14:textId="407F6BA8" w:rsidR="00EA5FEB" w:rsidRPr="00EA5FEB" w:rsidRDefault="00EA5FEB" w:rsidP="00850B45">
            <w:pPr>
              <w:jc w:val="both"/>
              <w:rPr>
                <w:rFonts w:ascii="Arial Narrow" w:eastAsia="Calibri" w:hAnsi="Arial Narrow" w:cs="Arial"/>
                <w:b/>
                <w:bCs/>
                <w:kern w:val="2"/>
                <w:sz w:val="20"/>
                <w:szCs w:val="20"/>
                <w14:ligatures w14:val="standardContextual"/>
              </w:rPr>
            </w:pPr>
            <w:r w:rsidRPr="00EA5FEB">
              <w:rPr>
                <w:rFonts w:ascii="Arial Narrow" w:eastAsia="Calibri" w:hAnsi="Arial Narrow" w:cs="Arial"/>
                <w:b/>
                <w:bCs/>
                <w:kern w:val="2"/>
                <w:sz w:val="20"/>
                <w:szCs w:val="20"/>
                <w14:ligatures w14:val="standardContextual"/>
              </w:rPr>
              <w:t>General principles cited to maintain shared care</w:t>
            </w:r>
            <w:r w:rsidR="00BC6201">
              <w:rPr>
                <w:rFonts w:ascii="Arial Narrow" w:eastAsia="Calibri" w:hAnsi="Arial Narrow" w:cs="Arial"/>
                <w:b/>
                <w:bCs/>
                <w:kern w:val="2"/>
                <w:sz w:val="20"/>
                <w:szCs w:val="20"/>
                <w14:ligatures w14:val="standardContextual"/>
              </w:rPr>
              <w:t xml:space="preserve"> for PBS prescribing by nurse practitioners (NPs) </w:t>
            </w:r>
          </w:p>
        </w:tc>
      </w:tr>
      <w:tr w:rsidR="00EA5FEB" w:rsidRPr="00EA5FEB" w14:paraId="26930768"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0ACD329"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atropine injection</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012D88AA" w14:textId="4340EB6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5171DC">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4AE0A12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05BCD8AC"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718FEEC7"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apixaban</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9C84BDE" w14:textId="2C946FDE"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5171DC">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54135BF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0BEA139A" w14:textId="77777777" w:rsidTr="00C25949">
        <w:trPr>
          <w:trHeight w:val="201"/>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8D0F735"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dabigatran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43A872FC" w14:textId="55946520"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5171DC">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3050195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65083933" w14:textId="77777777" w:rsidTr="00C25949">
        <w:trPr>
          <w:trHeight w:val="207"/>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2DFEB65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rivaroxaban</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1FA6E933" w14:textId="38F84F6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5171DC">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614D141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E256A30" w14:textId="77777777" w:rsidTr="00C25949">
        <w:trPr>
          <w:trHeight w:val="261"/>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78755F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clopidogrel</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6DFA7312" w14:textId="290BB110"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5171DC">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3C1D612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6ACC4FF5"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C679CC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clopidogrel + aspirin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DF6B3B1" w14:textId="46CD522B"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3E23E8">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7C5883F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78C73A8D"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B245C1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ticagrelor</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CEEDD4F" w14:textId="4DD608B9"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3E23E8">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72AD2DE9"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62996A32"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E1E3D9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fondaparinux</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92E9CC2" w14:textId="2719778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3E23E8">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4C408775"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5B31A60B"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28BE013" w14:textId="77777777" w:rsidR="00EA5FEB" w:rsidRPr="00EA5FEB" w:rsidRDefault="00EA5FEB" w:rsidP="00850B45">
            <w:pPr>
              <w:jc w:val="both"/>
              <w:rPr>
                <w:rFonts w:ascii="Arial Narrow" w:eastAsia="Calibri" w:hAnsi="Arial Narrow" w:cs="Arial"/>
                <w:kern w:val="2"/>
                <w:sz w:val="20"/>
                <w:szCs w:val="20"/>
                <w14:ligatures w14:val="standardContextual"/>
              </w:rPr>
            </w:pPr>
            <w:proofErr w:type="spellStart"/>
            <w:r w:rsidRPr="00EA5FEB">
              <w:rPr>
                <w:rFonts w:ascii="Arial Narrow" w:eastAsia="Calibri" w:hAnsi="Arial Narrow" w:cs="Arial"/>
                <w:kern w:val="2"/>
                <w:sz w:val="20"/>
                <w:szCs w:val="20"/>
                <w14:ligatures w14:val="standardContextual"/>
              </w:rPr>
              <w:t>tenecteplase</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B1FFF8F" w14:textId="170B331D"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3E23E8">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59BF5C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1251543"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1ABBD568"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tirofiban</w:t>
            </w:r>
          </w:p>
        </w:tc>
        <w:tc>
          <w:tcPr>
            <w:tcW w:w="1210" w:type="dxa"/>
            <w:tcBorders>
              <w:top w:val="single" w:sz="4" w:space="0" w:color="auto"/>
              <w:left w:val="single" w:sz="4" w:space="0" w:color="auto"/>
              <w:bottom w:val="single" w:sz="4" w:space="0" w:color="auto"/>
              <w:right w:val="single" w:sz="4" w:space="0" w:color="auto"/>
            </w:tcBorders>
            <w:shd w:val="clear" w:color="auto" w:fill="F2F2F2"/>
            <w:noWrap/>
            <w:hideMark/>
          </w:tcPr>
          <w:p w14:paraId="32F6AF5A" w14:textId="61AF494E"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3E23E8">
              <w:rPr>
                <w:rFonts w:ascii="Arial Narrow" w:eastAsia="Calibri" w:hAnsi="Arial Narrow" w:cs="Arial"/>
                <w:kern w:val="2"/>
                <w:sz w:val="20"/>
                <w:szCs w:val="20"/>
                <w14:ligatures w14:val="standardContextual"/>
              </w:rPr>
              <w:t>es</w:t>
            </w:r>
          </w:p>
        </w:tc>
        <w:tc>
          <w:tcPr>
            <w:tcW w:w="5169" w:type="dxa"/>
            <w:tcBorders>
              <w:top w:val="single" w:sz="4" w:space="0" w:color="auto"/>
              <w:left w:val="single" w:sz="4" w:space="0" w:color="auto"/>
              <w:bottom w:val="single" w:sz="4" w:space="0" w:color="auto"/>
              <w:right w:val="single" w:sz="4" w:space="0" w:color="auto"/>
            </w:tcBorders>
            <w:shd w:val="clear" w:color="auto" w:fill="F2F2F2"/>
            <w:hideMark/>
          </w:tcPr>
          <w:p w14:paraId="3CB1EED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4 - Health condition specific considerations: serious and complex health condition requiring specialist cardiology input</w:t>
            </w:r>
          </w:p>
        </w:tc>
      </w:tr>
      <w:tr w:rsidR="00EA5FEB" w:rsidRPr="00EA5FEB" w14:paraId="4E0C5332"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56AD6CA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tranexamic acid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562F11AC" w14:textId="1C9C0D28"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3E23E8">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66C5D1B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63F6A54" w14:textId="77777777" w:rsidTr="002D79FD">
        <w:trPr>
          <w:trHeight w:val="211"/>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49E07197"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amiodarone </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F2F2F2"/>
            <w:noWrap/>
          </w:tcPr>
          <w:p w14:paraId="4272922F" w14:textId="15B68529"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3E23E8">
              <w:rPr>
                <w:rFonts w:ascii="Arial Narrow" w:eastAsia="Calibri" w:hAnsi="Arial Narrow" w:cs="Arial"/>
                <w:kern w:val="2"/>
                <w:sz w:val="20"/>
                <w:szCs w:val="20"/>
                <w14:ligatures w14:val="standardContextual"/>
              </w:rPr>
              <w:t>es</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405EF73B" w14:textId="5FC30BBE"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3 - Medicine specific considerations: require</w:t>
            </w:r>
            <w:r w:rsidR="00D53599">
              <w:rPr>
                <w:rFonts w:ascii="Arial Narrow" w:eastAsia="Calibri" w:hAnsi="Arial Narrow" w:cs="Arial"/>
                <w:kern w:val="2"/>
                <w:sz w:val="20"/>
                <w:szCs w:val="20"/>
                <w14:ligatures w14:val="standardContextual"/>
              </w:rPr>
              <w:t>s</w:t>
            </w:r>
            <w:r w:rsidRPr="00EA5FEB">
              <w:rPr>
                <w:rFonts w:ascii="Arial Narrow" w:eastAsia="Calibri" w:hAnsi="Arial Narrow" w:cs="Arial"/>
                <w:kern w:val="2"/>
                <w:sz w:val="20"/>
                <w:szCs w:val="20"/>
                <w14:ligatures w14:val="standardContextual"/>
              </w:rPr>
              <w:t xml:space="preserve"> close monitoring; potential for severe side effects </w:t>
            </w:r>
          </w:p>
        </w:tc>
      </w:tr>
      <w:tr w:rsidR="00EA5FEB" w:rsidRPr="00EA5FEB" w14:paraId="5E15FE40" w14:textId="77777777" w:rsidTr="00C25949">
        <w:trPr>
          <w:trHeight w:val="279"/>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19DECE77"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disopyramide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37CAE"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2E3B3"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52A09223" w14:textId="77777777" w:rsidTr="00C25949">
        <w:trPr>
          <w:trHeight w:val="268"/>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0CC7CE3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flecainide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400E11"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89171"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762633C3" w14:textId="77777777" w:rsidTr="00C25949">
        <w:trPr>
          <w:trHeight w:val="260"/>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75132CB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lidocaine injection</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861AB"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7C5A6"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3579E38F" w14:textId="77777777" w:rsidTr="00C25949">
        <w:trPr>
          <w:trHeight w:val="267"/>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329CC477"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perhexiline </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9D030"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49BCD"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6B55AE14" w14:textId="77777777" w:rsidTr="00C25949">
        <w:trPr>
          <w:trHeight w:val="219"/>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201BC7D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sotalol </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EED68"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76883E"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37129FC4"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5104235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digoxin</w:t>
            </w:r>
          </w:p>
        </w:tc>
        <w:tc>
          <w:tcPr>
            <w:tcW w:w="1210" w:type="dxa"/>
            <w:tcBorders>
              <w:top w:val="single" w:sz="4" w:space="0" w:color="auto"/>
              <w:left w:val="single" w:sz="4" w:space="0" w:color="auto"/>
              <w:bottom w:val="single" w:sz="4" w:space="0" w:color="auto"/>
              <w:right w:val="single" w:sz="4" w:space="0" w:color="auto"/>
            </w:tcBorders>
            <w:shd w:val="clear" w:color="auto" w:fill="F2F2F2"/>
            <w:noWrap/>
            <w:hideMark/>
          </w:tcPr>
          <w:p w14:paraId="26CC6DA4" w14:textId="47011679"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3E23E8">
              <w:rPr>
                <w:rFonts w:ascii="Arial Narrow" w:eastAsia="Calibri" w:hAnsi="Arial Narrow" w:cs="Arial"/>
                <w:kern w:val="2"/>
                <w:sz w:val="20"/>
                <w:szCs w:val="20"/>
                <w14:ligatures w14:val="standardContextual"/>
              </w:rPr>
              <w:t>es</w:t>
            </w:r>
          </w:p>
        </w:tc>
        <w:tc>
          <w:tcPr>
            <w:tcW w:w="5169" w:type="dxa"/>
            <w:tcBorders>
              <w:top w:val="single" w:sz="4" w:space="0" w:color="auto"/>
              <w:left w:val="single" w:sz="4" w:space="0" w:color="auto"/>
              <w:bottom w:val="single" w:sz="4" w:space="0" w:color="auto"/>
              <w:right w:val="single" w:sz="4" w:space="0" w:color="auto"/>
            </w:tcBorders>
            <w:shd w:val="clear" w:color="auto" w:fill="F2F2F2"/>
            <w:hideMark/>
          </w:tcPr>
          <w:p w14:paraId="0B96E66D" w14:textId="58A66531"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3 - Medicine specific considerations: require</w:t>
            </w:r>
            <w:r w:rsidR="00D53599">
              <w:rPr>
                <w:rFonts w:ascii="Arial Narrow" w:eastAsia="Calibri" w:hAnsi="Arial Narrow" w:cs="Arial"/>
                <w:kern w:val="2"/>
                <w:sz w:val="20"/>
                <w:szCs w:val="20"/>
                <w14:ligatures w14:val="standardContextual"/>
              </w:rPr>
              <w:t>s</w:t>
            </w:r>
            <w:r w:rsidRPr="00EA5FEB">
              <w:rPr>
                <w:rFonts w:ascii="Arial Narrow" w:eastAsia="Calibri" w:hAnsi="Arial Narrow" w:cs="Arial"/>
                <w:kern w:val="2"/>
                <w:sz w:val="20"/>
                <w:szCs w:val="20"/>
                <w14:ligatures w14:val="standardContextual"/>
              </w:rPr>
              <w:t xml:space="preserve"> close monitoring; potential for severe side effects</w:t>
            </w:r>
          </w:p>
        </w:tc>
      </w:tr>
      <w:tr w:rsidR="00EA5FEB" w:rsidRPr="00EA5FEB" w14:paraId="460BE103"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6087F69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nicorandil</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5B0B2D1B" w14:textId="0284FB98"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53599">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6CE5E7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CE6EFED"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50C416B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dapsone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0DA94B05" w14:textId="42B4B42F"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53599">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32AFCA0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318DF1C8"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628F0819"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betamethasone acetate + betamethasone sodium phosphate injection</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24369F58" w14:textId="2971513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53599">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E8BBAE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3B6A1E01"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2D815289"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dexamethasone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5548132E" w14:textId="7B463353"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53599">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4914BB81"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5EF037FF"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710DD38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lastRenderedPageBreak/>
              <w:t>triamcinolone injection</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A796AC4" w14:textId="4F2BF0C3"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53599">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F01B100"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E452CCD" w14:textId="77777777" w:rsidTr="00C25949">
        <w:trPr>
          <w:trHeight w:val="335"/>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40A11A29"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cinacalcet</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F757FA4" w14:textId="63C03B2F"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53599">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9AEB43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F5200B7" w14:textId="77777777" w:rsidTr="00C25949">
        <w:trPr>
          <w:trHeight w:val="274"/>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5ED4877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cefazolin</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F2F2F2"/>
            <w:noWrap/>
          </w:tcPr>
          <w:p w14:paraId="1A5ED081" w14:textId="2B54006D"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53599">
              <w:rPr>
                <w:rFonts w:ascii="Arial Narrow" w:eastAsia="Calibri" w:hAnsi="Arial Narrow" w:cs="Arial"/>
                <w:kern w:val="2"/>
                <w:sz w:val="20"/>
                <w:szCs w:val="20"/>
                <w14:ligatures w14:val="standardContextual"/>
              </w:rPr>
              <w:t>es</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F2F2F2"/>
          </w:tcPr>
          <w:p w14:paraId="4271B5A3" w14:textId="3478FD68"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4 - Health condition specific considerations: acute condition with severe consequences</w:t>
            </w:r>
          </w:p>
        </w:tc>
      </w:tr>
      <w:tr w:rsidR="00EA5FEB" w:rsidRPr="00EA5FEB" w14:paraId="02B811F8" w14:textId="77777777" w:rsidTr="00C25949">
        <w:trPr>
          <w:trHeight w:val="315"/>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27F21F6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cefepime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CAC96"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5A001"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062E2558" w14:textId="77777777" w:rsidTr="00C25949">
        <w:trPr>
          <w:trHeight w:val="294"/>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6A96152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cefotaxime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5A27B"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70D18"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3AC693D1" w14:textId="77777777" w:rsidTr="00C25949">
        <w:trPr>
          <w:trHeight w:val="274"/>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335B495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ceftriaxone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19FE3A"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ACC91"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3A37E9C5" w14:textId="77777777" w:rsidTr="00C25949">
        <w:trPr>
          <w:trHeight w:val="701"/>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6F219B27"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fluconazole</w:t>
            </w:r>
          </w:p>
          <w:p w14:paraId="774A2C6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(cryptococcal meningitis, severe/life-threatening fungal infections)</w:t>
            </w:r>
          </w:p>
        </w:tc>
        <w:tc>
          <w:tcPr>
            <w:tcW w:w="1210" w:type="dxa"/>
            <w:tcBorders>
              <w:top w:val="single" w:sz="4" w:space="0" w:color="auto"/>
              <w:left w:val="single" w:sz="4" w:space="0" w:color="auto"/>
              <w:bottom w:val="single" w:sz="4" w:space="0" w:color="auto"/>
              <w:right w:val="single" w:sz="4" w:space="0" w:color="auto"/>
            </w:tcBorders>
            <w:shd w:val="clear" w:color="auto" w:fill="F2F2F2"/>
          </w:tcPr>
          <w:p w14:paraId="7395D0AA" w14:textId="510A9FDA"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53599">
              <w:rPr>
                <w:rFonts w:ascii="Arial Narrow" w:eastAsia="Calibri" w:hAnsi="Arial Narrow" w:cs="Arial"/>
                <w:kern w:val="2"/>
                <w:sz w:val="20"/>
                <w:szCs w:val="20"/>
                <w14:ligatures w14:val="standardContextual"/>
              </w:rPr>
              <w:t>es</w:t>
            </w:r>
          </w:p>
        </w:tc>
        <w:tc>
          <w:tcPr>
            <w:tcW w:w="5169" w:type="dxa"/>
            <w:tcBorders>
              <w:top w:val="single" w:sz="4" w:space="0" w:color="auto"/>
              <w:left w:val="single" w:sz="4" w:space="0" w:color="auto"/>
              <w:bottom w:val="single" w:sz="4" w:space="0" w:color="auto"/>
              <w:right w:val="single" w:sz="4" w:space="0" w:color="auto"/>
            </w:tcBorders>
            <w:shd w:val="clear" w:color="auto" w:fill="F2F2F2"/>
          </w:tcPr>
          <w:p w14:paraId="55730FF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4 - Health condition specific considerations: acute condition with severe consequences  </w:t>
            </w:r>
          </w:p>
        </w:tc>
      </w:tr>
      <w:tr w:rsidR="00EA5FEB" w:rsidRPr="00EA5FEB" w14:paraId="2D6DB297" w14:textId="77777777" w:rsidTr="00C25949">
        <w:trPr>
          <w:trHeight w:val="711"/>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E0FF42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fluconazole </w:t>
            </w:r>
          </w:p>
          <w:p w14:paraId="15161785"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(oropharyngeal candidiasis, oesophageal candidiasis)</w:t>
            </w:r>
          </w:p>
        </w:tc>
        <w:tc>
          <w:tcPr>
            <w:tcW w:w="1210" w:type="dxa"/>
            <w:tcBorders>
              <w:top w:val="single" w:sz="4" w:space="0" w:color="auto"/>
              <w:left w:val="single" w:sz="4" w:space="0" w:color="auto"/>
              <w:bottom w:val="single" w:sz="4" w:space="0" w:color="auto"/>
              <w:right w:val="single" w:sz="4" w:space="0" w:color="auto"/>
            </w:tcBorders>
            <w:shd w:val="clear" w:color="auto" w:fill="auto"/>
            <w:noWrap/>
          </w:tcPr>
          <w:p w14:paraId="0B910842" w14:textId="1FA35573"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53599">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tcPr>
          <w:p w14:paraId="6FD73088"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5302387F" w14:textId="77777777" w:rsidTr="00C25949">
        <w:trPr>
          <w:trHeight w:val="279"/>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646914F5"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itraconazole</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F2F2F2"/>
            <w:noWrap/>
          </w:tcPr>
          <w:p w14:paraId="2E55ED7F" w14:textId="157BBCC6"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53599">
              <w:rPr>
                <w:rFonts w:ascii="Arial Narrow" w:eastAsia="Calibri" w:hAnsi="Arial Narrow" w:cs="Arial"/>
                <w:kern w:val="2"/>
                <w:sz w:val="20"/>
                <w:szCs w:val="20"/>
                <w14:ligatures w14:val="standardContextual"/>
              </w:rPr>
              <w:t>es</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3184E998" w14:textId="72EEDDA2"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4 - Health condition specific considerations.: acute condition with severe consequences </w:t>
            </w:r>
          </w:p>
        </w:tc>
      </w:tr>
      <w:tr w:rsidR="00EA5FEB" w:rsidRPr="00EA5FEB" w14:paraId="51074428" w14:textId="77777777" w:rsidTr="00C25949">
        <w:trPr>
          <w:trHeight w:val="227"/>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173E3688"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posaconazole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EC371"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C9D31"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001E0288" w14:textId="77777777" w:rsidTr="00C25949">
        <w:trPr>
          <w:trHeight w:val="233"/>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1ECE86D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voriconazole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1733C0"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294A8E"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5AF30C75" w14:textId="77777777" w:rsidTr="00C25949">
        <w:trPr>
          <w:trHeight w:val="283"/>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1A53BFD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isoniazid </w:t>
            </w:r>
          </w:p>
        </w:tc>
        <w:tc>
          <w:tcPr>
            <w:tcW w:w="1210" w:type="dxa"/>
            <w:tcBorders>
              <w:top w:val="single" w:sz="4" w:space="0" w:color="auto"/>
              <w:left w:val="single" w:sz="4" w:space="0" w:color="auto"/>
              <w:bottom w:val="single" w:sz="4" w:space="0" w:color="auto"/>
              <w:right w:val="single" w:sz="4" w:space="0" w:color="auto"/>
            </w:tcBorders>
            <w:shd w:val="clear" w:color="auto" w:fill="F2F2F2"/>
            <w:noWrap/>
            <w:hideMark/>
          </w:tcPr>
          <w:p w14:paraId="19F2BFC6" w14:textId="4828003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6099A">
              <w:rPr>
                <w:rFonts w:ascii="Arial Narrow" w:eastAsia="Calibri" w:hAnsi="Arial Narrow" w:cs="Arial"/>
                <w:kern w:val="2"/>
                <w:sz w:val="20"/>
                <w:szCs w:val="20"/>
                <w14:ligatures w14:val="standardContextual"/>
              </w:rPr>
              <w:t>es</w:t>
            </w:r>
          </w:p>
        </w:tc>
        <w:tc>
          <w:tcPr>
            <w:tcW w:w="5169" w:type="dxa"/>
            <w:tcBorders>
              <w:top w:val="single" w:sz="4" w:space="0" w:color="auto"/>
              <w:left w:val="single" w:sz="4" w:space="0" w:color="auto"/>
              <w:bottom w:val="single" w:sz="4" w:space="0" w:color="auto"/>
              <w:right w:val="single" w:sz="4" w:space="0" w:color="auto"/>
            </w:tcBorders>
            <w:shd w:val="clear" w:color="auto" w:fill="F2F2F2"/>
            <w:hideMark/>
          </w:tcPr>
          <w:p w14:paraId="10B3C0A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4 - Health condition specific considerations: acute condition with severe consequences  </w:t>
            </w:r>
          </w:p>
        </w:tc>
      </w:tr>
      <w:tr w:rsidR="00EA5FEB" w:rsidRPr="00EA5FEB" w14:paraId="2983562F" w14:textId="77777777" w:rsidTr="00C25949">
        <w:trPr>
          <w:trHeight w:val="273"/>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3931DA9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rifampicin</w:t>
            </w:r>
          </w:p>
        </w:tc>
        <w:tc>
          <w:tcPr>
            <w:tcW w:w="1210" w:type="dxa"/>
            <w:tcBorders>
              <w:top w:val="single" w:sz="4" w:space="0" w:color="auto"/>
              <w:left w:val="single" w:sz="4" w:space="0" w:color="auto"/>
              <w:bottom w:val="single" w:sz="4" w:space="0" w:color="auto"/>
              <w:right w:val="single" w:sz="4" w:space="0" w:color="auto"/>
            </w:tcBorders>
            <w:shd w:val="clear" w:color="auto" w:fill="F2F2F2"/>
            <w:noWrap/>
            <w:hideMark/>
          </w:tcPr>
          <w:p w14:paraId="489AFEF0" w14:textId="455C65CB"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6099A">
              <w:rPr>
                <w:rFonts w:ascii="Arial Narrow" w:eastAsia="Calibri" w:hAnsi="Arial Narrow" w:cs="Arial"/>
                <w:kern w:val="2"/>
                <w:sz w:val="20"/>
                <w:szCs w:val="20"/>
                <w14:ligatures w14:val="standardContextual"/>
              </w:rPr>
              <w:t>es</w:t>
            </w:r>
          </w:p>
        </w:tc>
        <w:tc>
          <w:tcPr>
            <w:tcW w:w="5169" w:type="dxa"/>
            <w:tcBorders>
              <w:top w:val="single" w:sz="4" w:space="0" w:color="auto"/>
              <w:left w:val="single" w:sz="4" w:space="0" w:color="auto"/>
              <w:bottom w:val="single" w:sz="4" w:space="0" w:color="auto"/>
              <w:right w:val="single" w:sz="4" w:space="0" w:color="auto"/>
            </w:tcBorders>
            <w:shd w:val="clear" w:color="auto" w:fill="F2F2F2"/>
            <w:hideMark/>
          </w:tcPr>
          <w:p w14:paraId="7D33063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4 - Health condition specific considerations: acute condition with severe consequences  </w:t>
            </w:r>
          </w:p>
        </w:tc>
      </w:tr>
      <w:tr w:rsidR="00EA5FEB" w:rsidRPr="00EA5FEB" w14:paraId="65717FD9"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2E8E250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anastrozole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1E2EB910" w14:textId="36D4FF12"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017E4D8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52B73B9"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4E42841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bicalutamide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68D17C7B" w14:textId="244A36DF"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47A161A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EC559D7"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F033AF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exemestane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9F965B3" w14:textId="636644C5"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6FBF73A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6224F03E"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1414442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flutamide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68885F97" w14:textId="656924C9"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2C81D9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79F7E0EF"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E215D0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letrozole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20FBB675" w14:textId="0DB53074"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73936E35"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0959101"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57D306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tamoxifen</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1EB7AC54" w14:textId="7B108829"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075AC71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246DB4C0"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44E8BBA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azathioprine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2F743C9B" w14:textId="44448BA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1945C39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534ACCD4" w14:textId="77777777" w:rsidTr="00C25949">
        <w:trPr>
          <w:trHeight w:val="269"/>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1FBC005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febuxostat</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0A66EF18" w14:textId="14AF2C3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29EF102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5858E60B" w14:textId="77777777" w:rsidTr="00C25949">
        <w:trPr>
          <w:trHeight w:val="339"/>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77A0D11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lastRenderedPageBreak/>
              <w:t>auranofin</w:t>
            </w:r>
          </w:p>
        </w:tc>
        <w:tc>
          <w:tcPr>
            <w:tcW w:w="1210" w:type="dxa"/>
            <w:tcBorders>
              <w:top w:val="single" w:sz="4" w:space="0" w:color="auto"/>
              <w:left w:val="single" w:sz="4" w:space="0" w:color="auto"/>
              <w:bottom w:val="single" w:sz="4" w:space="0" w:color="auto"/>
              <w:right w:val="single" w:sz="4" w:space="0" w:color="auto"/>
            </w:tcBorders>
            <w:shd w:val="clear" w:color="auto" w:fill="F2F2F2"/>
            <w:noWrap/>
            <w:hideMark/>
          </w:tcPr>
          <w:p w14:paraId="6F82EED1" w14:textId="72B0913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6099A">
              <w:rPr>
                <w:rFonts w:ascii="Arial Narrow" w:eastAsia="Calibri" w:hAnsi="Arial Narrow" w:cs="Arial"/>
                <w:kern w:val="2"/>
                <w:sz w:val="20"/>
                <w:szCs w:val="20"/>
                <w14:ligatures w14:val="standardContextual"/>
              </w:rPr>
              <w:t>es</w:t>
            </w:r>
          </w:p>
        </w:tc>
        <w:tc>
          <w:tcPr>
            <w:tcW w:w="5169" w:type="dxa"/>
            <w:tcBorders>
              <w:top w:val="single" w:sz="4" w:space="0" w:color="auto"/>
              <w:left w:val="single" w:sz="4" w:space="0" w:color="auto"/>
              <w:bottom w:val="single" w:sz="4" w:space="0" w:color="auto"/>
              <w:right w:val="single" w:sz="4" w:space="0" w:color="auto"/>
            </w:tcBorders>
            <w:shd w:val="clear" w:color="auto" w:fill="F2F2F2"/>
            <w:hideMark/>
          </w:tcPr>
          <w:p w14:paraId="0D10CB6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3 - Medicine specific considerations: shared care to ensure other treatment options are considered before using this medicine</w:t>
            </w:r>
          </w:p>
        </w:tc>
      </w:tr>
      <w:tr w:rsidR="00EA5FEB" w:rsidRPr="00EA5FEB" w14:paraId="287FCECF" w14:textId="77777777" w:rsidTr="00C25949">
        <w:trPr>
          <w:trHeight w:val="378"/>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657E1ED8"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hydroxychloroquine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2721F0F" w14:textId="7AC09318"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F1E4D1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5372AF81" w14:textId="77777777" w:rsidTr="00C25949">
        <w:trPr>
          <w:trHeight w:val="365"/>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4A2DAD2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penicillamine</w:t>
            </w:r>
          </w:p>
        </w:tc>
        <w:tc>
          <w:tcPr>
            <w:tcW w:w="1210" w:type="dxa"/>
            <w:tcBorders>
              <w:top w:val="single" w:sz="4" w:space="0" w:color="auto"/>
              <w:left w:val="single" w:sz="4" w:space="0" w:color="auto"/>
              <w:bottom w:val="single" w:sz="4" w:space="0" w:color="auto"/>
              <w:right w:val="single" w:sz="4" w:space="0" w:color="auto"/>
            </w:tcBorders>
            <w:shd w:val="clear" w:color="auto" w:fill="F2F2F2"/>
            <w:noWrap/>
            <w:hideMark/>
          </w:tcPr>
          <w:p w14:paraId="55593FE2" w14:textId="209BDCD4"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6099A">
              <w:rPr>
                <w:rFonts w:ascii="Arial Narrow" w:eastAsia="Calibri" w:hAnsi="Arial Narrow" w:cs="Arial"/>
                <w:kern w:val="2"/>
                <w:sz w:val="20"/>
                <w:szCs w:val="20"/>
                <w14:ligatures w14:val="standardContextual"/>
              </w:rPr>
              <w:t>es</w:t>
            </w:r>
          </w:p>
        </w:tc>
        <w:tc>
          <w:tcPr>
            <w:tcW w:w="5169" w:type="dxa"/>
            <w:tcBorders>
              <w:top w:val="single" w:sz="4" w:space="0" w:color="auto"/>
              <w:left w:val="single" w:sz="4" w:space="0" w:color="auto"/>
              <w:bottom w:val="single" w:sz="4" w:space="0" w:color="auto"/>
              <w:right w:val="single" w:sz="4" w:space="0" w:color="auto"/>
            </w:tcBorders>
            <w:shd w:val="clear" w:color="auto" w:fill="F2F2F2"/>
            <w:hideMark/>
          </w:tcPr>
          <w:p w14:paraId="5BF4A53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3 - Medicine specific considerations: shared care to ensure other treatment options are considered before using this medicine</w:t>
            </w:r>
          </w:p>
        </w:tc>
      </w:tr>
      <w:tr w:rsidR="00EA5FEB" w:rsidRPr="00EA5FEB" w14:paraId="4608AFDD" w14:textId="77777777" w:rsidTr="00C25949">
        <w:trPr>
          <w:trHeight w:val="834"/>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71C3CC1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buprenorphine</w:t>
            </w:r>
          </w:p>
          <w:p w14:paraId="7F7A7615" w14:textId="77777777" w:rsidR="00EA5FEB" w:rsidRPr="00EA5FEB" w:rsidRDefault="00EA5FEB" w:rsidP="00172590">
            <w:pPr>
              <w:numPr>
                <w:ilvl w:val="0"/>
                <w:numId w:val="25"/>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Palliative care schedule</w:t>
            </w:r>
          </w:p>
          <w:p w14:paraId="18110615" w14:textId="77777777" w:rsidR="00EA5FEB" w:rsidRPr="00EA5FEB" w:rsidRDefault="00EA5FEB" w:rsidP="00172590">
            <w:pPr>
              <w:numPr>
                <w:ilvl w:val="0"/>
                <w:numId w:val="25"/>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S100 opioid dependency </w:t>
            </w:r>
          </w:p>
          <w:p w14:paraId="6023103F" w14:textId="77777777" w:rsidR="00EA5FEB" w:rsidRPr="00EA5FEB" w:rsidRDefault="00EA5FEB" w:rsidP="00172590">
            <w:pPr>
              <w:numPr>
                <w:ilvl w:val="0"/>
                <w:numId w:val="25"/>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General Schedule listings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44152DE6" w14:textId="77777777" w:rsidR="00C51D0B" w:rsidRDefault="00C51D0B" w:rsidP="00850B45">
            <w:pPr>
              <w:jc w:val="both"/>
              <w:rPr>
                <w:rFonts w:ascii="Arial Narrow" w:eastAsia="Calibri" w:hAnsi="Arial Narrow" w:cs="Arial"/>
                <w:kern w:val="2"/>
                <w:sz w:val="20"/>
                <w:szCs w:val="20"/>
                <w14:ligatures w14:val="standardContextual"/>
              </w:rPr>
            </w:pPr>
          </w:p>
          <w:p w14:paraId="3C3318B4" w14:textId="167381CB"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292EED41" w14:textId="77777777" w:rsidR="00C51D0B" w:rsidRDefault="00C51D0B" w:rsidP="00850B45">
            <w:pPr>
              <w:jc w:val="both"/>
              <w:rPr>
                <w:rFonts w:ascii="Arial Narrow" w:eastAsia="Calibri" w:hAnsi="Arial Narrow" w:cs="Arial"/>
                <w:kern w:val="2"/>
                <w:sz w:val="20"/>
                <w:szCs w:val="20"/>
                <w14:ligatures w14:val="standardContextual"/>
              </w:rPr>
            </w:pPr>
          </w:p>
          <w:p w14:paraId="0F4786BD" w14:textId="7B8E9D21"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BB987BD" w14:textId="77777777" w:rsidTr="00C25949">
        <w:trPr>
          <w:trHeight w:val="562"/>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564F9BC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buprenorphine + naloxone </w:t>
            </w:r>
          </w:p>
          <w:p w14:paraId="47173F96" w14:textId="77777777" w:rsidR="00EA5FEB" w:rsidRPr="00EA5FEB" w:rsidRDefault="00EA5FEB" w:rsidP="00172590">
            <w:pPr>
              <w:numPr>
                <w:ilvl w:val="0"/>
                <w:numId w:val="26"/>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S100 opioid dependency</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61EF3CB9" w14:textId="6846F4E0"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31F9803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88B94D8" w14:textId="77777777" w:rsidTr="00C25949">
        <w:trPr>
          <w:trHeight w:val="579"/>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279946D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fentanyl patches </w:t>
            </w:r>
          </w:p>
          <w:p w14:paraId="3E4040A9" w14:textId="77777777" w:rsidR="00EA5FEB" w:rsidRPr="00EA5FEB" w:rsidRDefault="00EA5FEB" w:rsidP="00172590">
            <w:pPr>
              <w:numPr>
                <w:ilvl w:val="0"/>
                <w:numId w:val="27"/>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General Schedule listings</w:t>
            </w:r>
          </w:p>
        </w:tc>
        <w:tc>
          <w:tcPr>
            <w:tcW w:w="1210" w:type="dxa"/>
            <w:tcBorders>
              <w:top w:val="single" w:sz="4" w:space="0" w:color="auto"/>
              <w:left w:val="single" w:sz="4" w:space="0" w:color="auto"/>
              <w:bottom w:val="single" w:sz="4" w:space="0" w:color="auto"/>
              <w:right w:val="single" w:sz="4" w:space="0" w:color="auto"/>
            </w:tcBorders>
            <w:shd w:val="clear" w:color="auto" w:fill="F2F2F2"/>
            <w:noWrap/>
          </w:tcPr>
          <w:p w14:paraId="41FD6BF6" w14:textId="32592158"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6099A">
              <w:rPr>
                <w:rFonts w:ascii="Arial Narrow" w:eastAsia="Calibri" w:hAnsi="Arial Narrow" w:cs="Arial"/>
                <w:kern w:val="2"/>
                <w:sz w:val="20"/>
                <w:szCs w:val="20"/>
                <w14:ligatures w14:val="standardContextual"/>
              </w:rPr>
              <w:t>es</w:t>
            </w:r>
            <w:r w:rsidRPr="00EA5FEB">
              <w:rPr>
                <w:rFonts w:ascii="Arial Narrow" w:eastAsia="Calibri" w:hAnsi="Arial Narrow" w:cs="Arial"/>
                <w:kern w:val="2"/>
                <w:sz w:val="20"/>
                <w:szCs w:val="20"/>
                <w14:ligatures w14:val="standardContextual"/>
              </w:rPr>
              <w:t xml:space="preserve"> </w:t>
            </w:r>
          </w:p>
        </w:tc>
        <w:tc>
          <w:tcPr>
            <w:tcW w:w="5169" w:type="dxa"/>
            <w:tcBorders>
              <w:top w:val="single" w:sz="4" w:space="0" w:color="auto"/>
              <w:left w:val="single" w:sz="4" w:space="0" w:color="auto"/>
              <w:bottom w:val="single" w:sz="4" w:space="0" w:color="auto"/>
              <w:right w:val="single" w:sz="4" w:space="0" w:color="auto"/>
            </w:tcBorders>
            <w:shd w:val="clear" w:color="auto" w:fill="F2F2F2"/>
            <w:hideMark/>
          </w:tcPr>
          <w:p w14:paraId="32238AA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3 - Medicine specific considerations: high risk medicine where addiction and overuse risks should be considered</w:t>
            </w:r>
          </w:p>
        </w:tc>
      </w:tr>
      <w:tr w:rsidR="00EA5FEB" w:rsidRPr="00EA5FEB" w14:paraId="36680B82" w14:textId="77777777" w:rsidTr="00C25949">
        <w:trPr>
          <w:trHeight w:val="556"/>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DD9EA5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fentanyl </w:t>
            </w:r>
          </w:p>
          <w:p w14:paraId="6BFF5368" w14:textId="77777777" w:rsidR="00EA5FEB" w:rsidRPr="00EA5FEB" w:rsidRDefault="00EA5FEB" w:rsidP="00172590">
            <w:pPr>
              <w:numPr>
                <w:ilvl w:val="0"/>
                <w:numId w:val="27"/>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Palliative care schedule</w:t>
            </w:r>
          </w:p>
        </w:tc>
        <w:tc>
          <w:tcPr>
            <w:tcW w:w="1210" w:type="dxa"/>
            <w:tcBorders>
              <w:top w:val="single" w:sz="4" w:space="0" w:color="auto"/>
              <w:left w:val="single" w:sz="4" w:space="0" w:color="auto"/>
              <w:bottom w:val="single" w:sz="4" w:space="0" w:color="auto"/>
              <w:right w:val="single" w:sz="4" w:space="0" w:color="auto"/>
            </w:tcBorders>
            <w:shd w:val="clear" w:color="auto" w:fill="auto"/>
            <w:noWrap/>
          </w:tcPr>
          <w:p w14:paraId="3D2FB424" w14:textId="2060FCD8"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6A1EB08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560A5D2D" w14:textId="77777777" w:rsidTr="00C25949">
        <w:trPr>
          <w:trHeight w:val="569"/>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508E3E7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methadone hydrochloride</w:t>
            </w:r>
          </w:p>
          <w:p w14:paraId="7C000717" w14:textId="77777777" w:rsidR="00EA5FEB" w:rsidRPr="00EA5FEB" w:rsidRDefault="00EA5FEB" w:rsidP="00172590">
            <w:pPr>
              <w:numPr>
                <w:ilvl w:val="0"/>
                <w:numId w:val="27"/>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General Schedule listings</w:t>
            </w:r>
          </w:p>
        </w:tc>
        <w:tc>
          <w:tcPr>
            <w:tcW w:w="1210" w:type="dxa"/>
            <w:tcBorders>
              <w:top w:val="single" w:sz="4" w:space="0" w:color="auto"/>
              <w:left w:val="single" w:sz="4" w:space="0" w:color="auto"/>
              <w:bottom w:val="single" w:sz="4" w:space="0" w:color="auto"/>
              <w:right w:val="single" w:sz="4" w:space="0" w:color="auto"/>
            </w:tcBorders>
            <w:shd w:val="clear" w:color="auto" w:fill="F2F2F2"/>
            <w:noWrap/>
            <w:hideMark/>
          </w:tcPr>
          <w:p w14:paraId="281CFAB6" w14:textId="38E5B4F2"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6099A">
              <w:rPr>
                <w:rFonts w:ascii="Arial Narrow" w:eastAsia="Calibri" w:hAnsi="Arial Narrow" w:cs="Arial"/>
                <w:kern w:val="2"/>
                <w:sz w:val="20"/>
                <w:szCs w:val="20"/>
                <w14:ligatures w14:val="standardContextual"/>
              </w:rPr>
              <w:t>es</w:t>
            </w:r>
          </w:p>
        </w:tc>
        <w:tc>
          <w:tcPr>
            <w:tcW w:w="5169" w:type="dxa"/>
            <w:tcBorders>
              <w:top w:val="single" w:sz="4" w:space="0" w:color="auto"/>
              <w:left w:val="single" w:sz="4" w:space="0" w:color="auto"/>
              <w:bottom w:val="single" w:sz="4" w:space="0" w:color="auto"/>
              <w:right w:val="single" w:sz="4" w:space="0" w:color="auto"/>
            </w:tcBorders>
            <w:shd w:val="clear" w:color="auto" w:fill="F2F2F2"/>
            <w:hideMark/>
          </w:tcPr>
          <w:p w14:paraId="7ACAED9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3 - Medicine specific considerations: high risk medicines where addiction and overuse risks should be considered</w:t>
            </w:r>
          </w:p>
        </w:tc>
      </w:tr>
      <w:tr w:rsidR="00EA5FEB" w:rsidRPr="00EA5FEB" w14:paraId="3179DDDB" w14:textId="77777777" w:rsidTr="00C25949">
        <w:trPr>
          <w:trHeight w:val="743"/>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66A5699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methadone hydrochloride</w:t>
            </w:r>
          </w:p>
          <w:p w14:paraId="72D0319F" w14:textId="77777777" w:rsidR="00EA5FEB" w:rsidRPr="00EA5FEB" w:rsidRDefault="00EA5FEB" w:rsidP="00172590">
            <w:pPr>
              <w:numPr>
                <w:ilvl w:val="0"/>
                <w:numId w:val="25"/>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Palliative care schedule</w:t>
            </w:r>
          </w:p>
          <w:p w14:paraId="380C9F51" w14:textId="77777777" w:rsidR="00EA5FEB" w:rsidRPr="00EA5FEB" w:rsidRDefault="00EA5FEB" w:rsidP="00172590">
            <w:pPr>
              <w:numPr>
                <w:ilvl w:val="0"/>
                <w:numId w:val="25"/>
              </w:numPr>
              <w:snapToGrid w:val="0"/>
              <w:spacing w:after="0" w:line="240" w:lineRule="auto"/>
              <w:ind w:left="190" w:hanging="141"/>
              <w:contextualSpacing/>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S100 opioid dependency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5748B852" w14:textId="5F5B6AA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1BD4101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6AE17E83"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2B40E770"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morphine </w:t>
            </w:r>
            <w:proofErr w:type="spellStart"/>
            <w:r w:rsidRPr="00EA5FEB">
              <w:rPr>
                <w:rFonts w:ascii="Arial Narrow" w:eastAsia="Calibri" w:hAnsi="Arial Narrow" w:cs="Arial"/>
                <w:kern w:val="2"/>
                <w:sz w:val="20"/>
                <w:szCs w:val="20"/>
                <w14:ligatures w14:val="standardContextual"/>
              </w:rPr>
              <w:t>sulfate</w:t>
            </w:r>
            <w:proofErr w:type="spellEnd"/>
            <w:r w:rsidRPr="00EA5FEB">
              <w:rPr>
                <w:rFonts w:ascii="Arial Narrow" w:eastAsia="Calibri" w:hAnsi="Arial Narrow" w:cs="Arial"/>
                <w:kern w:val="2"/>
                <w:sz w:val="20"/>
                <w:szCs w:val="20"/>
                <w14:ligatures w14:val="standardContextual"/>
              </w:rPr>
              <w:t xml:space="preserve"> pentahydrate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3FB7519" w14:textId="5118429E"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10C82FE1"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DA4ABDC"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67BF552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oxycodone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231E8C5" w14:textId="2AC08416"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3FBBAB3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A15A484"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5161DDF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oxycodone + naloxone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28CBAF9" w14:textId="36980DEB"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BEDBA6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4668EB4"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B552948" w14:textId="77777777" w:rsidR="00EA5FEB" w:rsidRPr="00EA5FEB" w:rsidRDefault="00EA5FEB" w:rsidP="00850B45">
            <w:pPr>
              <w:jc w:val="both"/>
              <w:rPr>
                <w:rFonts w:ascii="Arial Narrow" w:eastAsia="Calibri" w:hAnsi="Arial Narrow" w:cs="Arial"/>
                <w:kern w:val="2"/>
                <w:sz w:val="20"/>
                <w:szCs w:val="20"/>
                <w14:ligatures w14:val="standardContextual"/>
              </w:rPr>
            </w:pPr>
            <w:proofErr w:type="spellStart"/>
            <w:r w:rsidRPr="00EA5FEB">
              <w:rPr>
                <w:rFonts w:ascii="Arial Narrow" w:eastAsia="Calibri" w:hAnsi="Arial Narrow" w:cs="Arial"/>
                <w:kern w:val="2"/>
                <w:sz w:val="20"/>
                <w:szCs w:val="20"/>
                <w14:ligatures w14:val="standardContextual"/>
              </w:rPr>
              <w:t>tapentadol</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4D1D7404" w14:textId="025AC69E"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7DF8948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7819BE19"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2D7D67E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tramadol</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F07106F" w14:textId="6F82517E"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0D0E492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005F4586"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E9ED03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amisulpride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DA70062" w14:textId="757D5485"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0AC69C1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2D85297E"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61FAE25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aripiprazole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0CB354B" w14:textId="64206BE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3EC88438"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25C19944"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689595BF" w14:textId="77777777" w:rsidR="00EA5FEB" w:rsidRPr="00EA5FEB" w:rsidRDefault="00EA5FEB" w:rsidP="00850B45">
            <w:pPr>
              <w:jc w:val="both"/>
              <w:rPr>
                <w:rFonts w:ascii="Arial Narrow" w:eastAsia="Calibri" w:hAnsi="Arial Narrow" w:cs="Arial"/>
                <w:kern w:val="2"/>
                <w:sz w:val="20"/>
                <w:szCs w:val="20"/>
                <w14:ligatures w14:val="standardContextual"/>
              </w:rPr>
            </w:pPr>
            <w:proofErr w:type="spellStart"/>
            <w:r w:rsidRPr="00EA5FEB">
              <w:rPr>
                <w:rFonts w:ascii="Arial Narrow" w:eastAsia="Calibri" w:hAnsi="Arial Narrow" w:cs="Arial"/>
                <w:kern w:val="2"/>
                <w:sz w:val="20"/>
                <w:szCs w:val="20"/>
                <w14:ligatures w14:val="standardContextual"/>
              </w:rPr>
              <w:t>asenapine</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4D9EAB75" w14:textId="4AD93572"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5B2496F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0A65DB70"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F219D5F" w14:textId="77777777" w:rsidR="00EA5FEB" w:rsidRPr="00EA5FEB" w:rsidRDefault="00EA5FEB" w:rsidP="00850B45">
            <w:pPr>
              <w:jc w:val="both"/>
              <w:rPr>
                <w:rFonts w:ascii="Arial Narrow" w:eastAsia="Calibri" w:hAnsi="Arial Narrow" w:cs="Arial"/>
                <w:kern w:val="2"/>
                <w:sz w:val="20"/>
                <w:szCs w:val="20"/>
                <w14:ligatures w14:val="standardContextual"/>
              </w:rPr>
            </w:pPr>
            <w:proofErr w:type="spellStart"/>
            <w:r w:rsidRPr="00EA5FEB">
              <w:rPr>
                <w:rFonts w:ascii="Arial Narrow" w:eastAsia="Calibri" w:hAnsi="Arial Narrow" w:cs="Arial"/>
                <w:kern w:val="2"/>
                <w:sz w:val="20"/>
                <w:szCs w:val="20"/>
                <w14:ligatures w14:val="standardContextual"/>
              </w:rPr>
              <w:t>brexpiprazole</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179F0CEC" w14:textId="09E421C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4BBF712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7FA79D89"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0A0167B" w14:textId="77777777" w:rsidR="00EA5FEB" w:rsidRPr="00EA5FEB" w:rsidRDefault="00EA5FEB" w:rsidP="00850B45">
            <w:pPr>
              <w:jc w:val="both"/>
              <w:rPr>
                <w:rFonts w:ascii="Arial Narrow" w:eastAsia="Calibri" w:hAnsi="Arial Narrow" w:cs="Arial"/>
                <w:kern w:val="2"/>
                <w:sz w:val="20"/>
                <w:szCs w:val="20"/>
                <w14:ligatures w14:val="standardContextual"/>
              </w:rPr>
            </w:pPr>
            <w:proofErr w:type="spellStart"/>
            <w:r w:rsidRPr="00EA5FEB">
              <w:rPr>
                <w:rFonts w:ascii="Arial Narrow" w:eastAsia="Calibri" w:hAnsi="Arial Narrow" w:cs="Arial"/>
                <w:kern w:val="2"/>
                <w:sz w:val="20"/>
                <w:szCs w:val="20"/>
                <w14:ligatures w14:val="standardContextual"/>
              </w:rPr>
              <w:t>cariprazine</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188B2867" w14:textId="0FF13840"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hideMark/>
          </w:tcPr>
          <w:p w14:paraId="2D99C858"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0566554"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5C5396D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flupentixol decanoate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0DCF1805" w14:textId="34079803"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5CD91DB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15E0CF60"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5D7A0B8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lastRenderedPageBreak/>
              <w:t>haloperidol</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2E19F75E" w14:textId="225F7DBD"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35338E2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22F14E1F"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6C80569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lurasidone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12879C7B" w14:textId="44677C8C"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778ACD4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22EE6A7E"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1E4EB988"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olanzapine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4D3047B5" w14:textId="5121EC3D"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503BD88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7AA21AD5"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2F78272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paliperidone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2F822882" w14:textId="1D70B0C9"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2F58BEF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538733F"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7EC642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quetiapine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02CBE380" w14:textId="073AD395"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62E34E1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5B13544"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21AA180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risperidone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15685362" w14:textId="76D3B652"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5E5388B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6080C547"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A55488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ziprasidone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4CCEA57" w14:textId="330654A9"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7446F062"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D396775" w14:textId="77777777" w:rsidTr="00C25949">
        <w:trPr>
          <w:trHeight w:val="313"/>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471D215D"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chlorpromazine </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F2F2F2"/>
            <w:noWrap/>
          </w:tcPr>
          <w:p w14:paraId="4395CE31" w14:textId="0A30E163"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Y</w:t>
            </w:r>
            <w:r w:rsidR="00D6099A">
              <w:rPr>
                <w:rFonts w:ascii="Arial Narrow" w:eastAsia="Calibri" w:hAnsi="Arial Narrow" w:cs="Arial"/>
                <w:kern w:val="2"/>
                <w:sz w:val="20"/>
                <w:szCs w:val="20"/>
                <w14:ligatures w14:val="standardContextual"/>
              </w:rPr>
              <w:t>es</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65140CBC" w14:textId="1D82E3C1"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3 - Medicine specific considerations: potential for severe side effects; consider other treatment options before using these medicines</w:t>
            </w:r>
          </w:p>
        </w:tc>
      </w:tr>
      <w:tr w:rsidR="00EA5FEB" w:rsidRPr="00EA5FEB" w14:paraId="37253D79" w14:textId="77777777" w:rsidTr="00C25949">
        <w:trPr>
          <w:trHeight w:val="275"/>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2E42C135"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periciazine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FACF97"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ABCAF"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06DDC016" w14:textId="77777777" w:rsidTr="00C25949">
        <w:trPr>
          <w:trHeight w:val="237"/>
        </w:trPr>
        <w:tc>
          <w:tcPr>
            <w:tcW w:w="3085" w:type="dxa"/>
            <w:tcBorders>
              <w:top w:val="single" w:sz="4" w:space="0" w:color="auto"/>
              <w:left w:val="single" w:sz="4" w:space="0" w:color="auto"/>
              <w:bottom w:val="single" w:sz="4" w:space="0" w:color="auto"/>
              <w:right w:val="single" w:sz="4" w:space="0" w:color="auto"/>
            </w:tcBorders>
            <w:shd w:val="clear" w:color="auto" w:fill="F2F2F2"/>
            <w:noWrap/>
            <w:hideMark/>
          </w:tcPr>
          <w:p w14:paraId="2AB411C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zuclopenthixol decanoate</w:t>
            </w: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1A58A1" w14:textId="77777777" w:rsidR="00EA5FEB" w:rsidRPr="00EA5FEB" w:rsidRDefault="00EA5FEB" w:rsidP="00850B45">
            <w:pPr>
              <w:jc w:val="both"/>
              <w:rPr>
                <w:rFonts w:ascii="Arial Narrow" w:eastAsia="Calibri" w:hAnsi="Arial Narrow" w:cs="Arial"/>
                <w:kern w:val="2"/>
                <w:sz w:val="20"/>
                <w:szCs w:val="20"/>
                <w14:ligatures w14:val="standardContextual"/>
              </w:rPr>
            </w:pPr>
          </w:p>
        </w:tc>
        <w:tc>
          <w:tcPr>
            <w:tcW w:w="5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C6FCD1" w14:textId="77777777" w:rsidR="00EA5FEB" w:rsidRPr="00EA5FEB" w:rsidRDefault="00EA5FEB" w:rsidP="00850B45">
            <w:pPr>
              <w:jc w:val="both"/>
              <w:rPr>
                <w:rFonts w:ascii="Arial Narrow" w:eastAsia="Calibri" w:hAnsi="Arial Narrow" w:cs="Arial"/>
                <w:kern w:val="2"/>
                <w:sz w:val="20"/>
                <w:szCs w:val="20"/>
                <w14:ligatures w14:val="standardContextual"/>
              </w:rPr>
            </w:pPr>
          </w:p>
        </w:tc>
      </w:tr>
      <w:tr w:rsidR="00EA5FEB" w:rsidRPr="00EA5FEB" w14:paraId="0A8493AD"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041EBD8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atovaquone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2A5973A1" w14:textId="10434924"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44B5B8E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01F45A41"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1B22081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atovaquone + proguanil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039C8B89" w14:textId="0059AA12"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27A1B6F3"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7A8C9DBD"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16371827"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aciclovir eye ointment</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5AA64DE9" w14:textId="0ADE2CAA"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3907C7E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7005B35" w14:textId="77777777" w:rsidTr="00C25949">
        <w:trPr>
          <w:trHeight w:val="300"/>
        </w:trPr>
        <w:tc>
          <w:tcPr>
            <w:tcW w:w="946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F8C5E08" w14:textId="77777777" w:rsidR="00EA5FEB" w:rsidRPr="00EA5FEB" w:rsidRDefault="00EA5FEB" w:rsidP="00850B45">
            <w:pPr>
              <w:jc w:val="both"/>
              <w:rPr>
                <w:rFonts w:ascii="Arial Narrow" w:eastAsia="Calibri" w:hAnsi="Arial Narrow" w:cs="Arial"/>
                <w:i/>
                <w:iCs/>
                <w:kern w:val="2"/>
                <w:sz w:val="20"/>
                <w:szCs w:val="20"/>
                <w14:ligatures w14:val="standardContextual"/>
              </w:rPr>
            </w:pPr>
            <w:r w:rsidRPr="00EA5FEB">
              <w:rPr>
                <w:rFonts w:ascii="Arial Narrow" w:eastAsia="Calibri" w:hAnsi="Arial Narrow" w:cs="Arial"/>
                <w:i/>
                <w:iCs/>
                <w:kern w:val="2"/>
                <w:sz w:val="20"/>
                <w:szCs w:val="20"/>
                <w14:ligatures w14:val="standardContextual"/>
              </w:rPr>
              <w:t>General Schedule listings for continuing/maintenance therapy</w:t>
            </w:r>
          </w:p>
        </w:tc>
      </w:tr>
      <w:tr w:rsidR="00EA5FEB" w:rsidRPr="00EA5FEB" w14:paraId="49E0F0E8"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73B7D54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apomorphine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6E7EA4AA" w14:textId="08642B1D"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0B8008DE"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BD49B7A"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5586E054"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levodopa + carbidopa intestinal gel</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258CD82" w14:textId="05D69F9E"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13D0C9A6"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3DFBCB43"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365D7DAC"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lanthanum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3BAB0DF8" w14:textId="15B61B70"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2C43BEC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4242CACC" w14:textId="77777777" w:rsidTr="007C24F0">
        <w:trPr>
          <w:trHeight w:val="228"/>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7FB1AECA"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 xml:space="preserve">sevelamer </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5E8B7956" w14:textId="06475C9E"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27BABF1F"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r w:rsidR="00EA5FEB" w:rsidRPr="00EA5FEB" w14:paraId="54C1B83E" w14:textId="77777777" w:rsidTr="00C25949">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14:paraId="176AD957" w14:textId="77777777" w:rsidR="00EA5FEB" w:rsidRPr="00EA5FEB" w:rsidRDefault="00EA5FEB" w:rsidP="00850B45">
            <w:pPr>
              <w:jc w:val="both"/>
              <w:rPr>
                <w:rFonts w:ascii="Arial Narrow" w:eastAsia="Calibri" w:hAnsi="Arial Narrow" w:cs="Arial"/>
                <w:kern w:val="2"/>
                <w:sz w:val="20"/>
                <w:szCs w:val="20"/>
                <w14:ligatures w14:val="standardContextual"/>
              </w:rPr>
            </w:pPr>
            <w:proofErr w:type="spellStart"/>
            <w:r w:rsidRPr="00EA5FEB">
              <w:rPr>
                <w:rFonts w:ascii="Arial Narrow" w:eastAsia="Calibri" w:hAnsi="Arial Narrow" w:cs="Arial"/>
                <w:kern w:val="2"/>
                <w:sz w:val="20"/>
                <w:szCs w:val="20"/>
                <w14:ligatures w14:val="standardContextual"/>
              </w:rPr>
              <w:t>sucroferric</w:t>
            </w:r>
            <w:proofErr w:type="spellEnd"/>
            <w:r w:rsidRPr="00EA5FEB">
              <w:rPr>
                <w:rFonts w:ascii="Arial Narrow" w:eastAsia="Calibri" w:hAnsi="Arial Narrow" w:cs="Arial"/>
                <w:kern w:val="2"/>
                <w:sz w:val="20"/>
                <w:szCs w:val="20"/>
                <w14:ligatures w14:val="standardContextual"/>
              </w:rPr>
              <w:t xml:space="preserve"> oxyhydroxide</w:t>
            </w:r>
          </w:p>
        </w:tc>
        <w:tc>
          <w:tcPr>
            <w:tcW w:w="1210" w:type="dxa"/>
            <w:tcBorders>
              <w:top w:val="single" w:sz="4" w:space="0" w:color="auto"/>
              <w:left w:val="single" w:sz="4" w:space="0" w:color="auto"/>
              <w:bottom w:val="single" w:sz="4" w:space="0" w:color="auto"/>
              <w:right w:val="single" w:sz="4" w:space="0" w:color="auto"/>
            </w:tcBorders>
            <w:shd w:val="clear" w:color="auto" w:fill="auto"/>
            <w:noWrap/>
            <w:hideMark/>
          </w:tcPr>
          <w:p w14:paraId="7920A14A" w14:textId="7AB8C1D2"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w:t>
            </w:r>
            <w:r w:rsidR="00D6099A">
              <w:rPr>
                <w:rFonts w:ascii="Arial Narrow" w:eastAsia="Calibri" w:hAnsi="Arial Narrow" w:cs="Arial"/>
                <w:kern w:val="2"/>
                <w:sz w:val="20"/>
                <w:szCs w:val="20"/>
                <w14:ligatures w14:val="standardContextual"/>
              </w:rPr>
              <w:t>o</w:t>
            </w:r>
          </w:p>
        </w:tc>
        <w:tc>
          <w:tcPr>
            <w:tcW w:w="5169" w:type="dxa"/>
            <w:tcBorders>
              <w:top w:val="single" w:sz="4" w:space="0" w:color="auto"/>
              <w:left w:val="single" w:sz="4" w:space="0" w:color="auto"/>
              <w:bottom w:val="single" w:sz="4" w:space="0" w:color="auto"/>
              <w:right w:val="single" w:sz="4" w:space="0" w:color="auto"/>
            </w:tcBorders>
            <w:shd w:val="clear" w:color="auto" w:fill="auto"/>
            <w:noWrap/>
            <w:hideMark/>
          </w:tcPr>
          <w:p w14:paraId="73D8870B" w14:textId="77777777" w:rsidR="00EA5FEB" w:rsidRPr="00EA5FEB" w:rsidRDefault="00EA5FEB" w:rsidP="00850B45">
            <w:pPr>
              <w:jc w:val="both"/>
              <w:rPr>
                <w:rFonts w:ascii="Arial Narrow" w:eastAsia="Calibri" w:hAnsi="Arial Narrow" w:cs="Arial"/>
                <w:kern w:val="2"/>
                <w:sz w:val="20"/>
                <w:szCs w:val="20"/>
                <w14:ligatures w14:val="standardContextual"/>
              </w:rPr>
            </w:pPr>
            <w:r w:rsidRPr="00EA5FEB">
              <w:rPr>
                <w:rFonts w:ascii="Arial Narrow" w:eastAsia="Calibri" w:hAnsi="Arial Narrow" w:cs="Arial"/>
                <w:kern w:val="2"/>
                <w:sz w:val="20"/>
                <w:szCs w:val="20"/>
                <w14:ligatures w14:val="standardContextual"/>
              </w:rPr>
              <w:t>Nil</w:t>
            </w:r>
          </w:p>
        </w:tc>
      </w:tr>
    </w:tbl>
    <w:p w14:paraId="26C5F71F" w14:textId="77777777" w:rsidR="00EA5FEB" w:rsidRPr="00EA5FEB" w:rsidRDefault="00EA5FEB" w:rsidP="00850B45">
      <w:pPr>
        <w:spacing w:line="256" w:lineRule="auto"/>
        <w:jc w:val="both"/>
        <w:rPr>
          <w:rFonts w:ascii="Times New Roman" w:eastAsia="Calibri" w:hAnsi="Times New Roman" w:cs="Times New Roman"/>
          <w:kern w:val="2"/>
          <w:sz w:val="24"/>
          <w:szCs w:val="24"/>
          <w14:ligatures w14:val="standardContextual"/>
        </w:rPr>
      </w:pPr>
    </w:p>
    <w:p w14:paraId="407162A4" w14:textId="77777777" w:rsidR="002E3851" w:rsidRPr="002356CF" w:rsidRDefault="002E3851" w:rsidP="00850B45">
      <w:pPr>
        <w:jc w:val="both"/>
        <w:rPr>
          <w:rFonts w:ascii="Arial" w:hAnsi="Arial" w:cs="Arial"/>
        </w:rPr>
      </w:pPr>
    </w:p>
    <w:sectPr w:rsidR="002E3851" w:rsidRPr="002356C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D0307" w14:textId="77777777" w:rsidR="00F157E9" w:rsidRDefault="00F157E9" w:rsidP="002E3851">
      <w:pPr>
        <w:spacing w:after="0" w:line="240" w:lineRule="auto"/>
      </w:pPr>
      <w:r>
        <w:separator/>
      </w:r>
    </w:p>
  </w:endnote>
  <w:endnote w:type="continuationSeparator" w:id="0">
    <w:p w14:paraId="0F2FC898" w14:textId="77777777" w:rsidR="00F157E9" w:rsidRDefault="00F157E9" w:rsidP="002E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676A" w14:textId="4094EFE4" w:rsidR="002E3851" w:rsidRDefault="002E3851" w:rsidP="00142E8B">
    <w:pPr>
      <w:pStyle w:val="Footer"/>
      <w:spacing w:before="120"/>
    </w:pPr>
    <w:r w:rsidRPr="00247BCA">
      <w:rPr>
        <w:sz w:val="16"/>
        <w:szCs w:val="16"/>
      </w:rPr>
      <w:t xml:space="preserve">Department of Health and Aged Care – </w:t>
    </w:r>
    <w:r w:rsidR="006F1D48" w:rsidRPr="00247BCA">
      <w:rPr>
        <w:sz w:val="16"/>
        <w:szCs w:val="16"/>
      </w:rPr>
      <w:t xml:space="preserve">Review of </w:t>
    </w:r>
    <w:r w:rsidR="00C75BE7">
      <w:rPr>
        <w:sz w:val="16"/>
        <w:szCs w:val="16"/>
      </w:rPr>
      <w:t>n</w:t>
    </w:r>
    <w:r w:rsidR="006F1D48" w:rsidRPr="00247BCA">
      <w:rPr>
        <w:sz w:val="16"/>
        <w:szCs w:val="16"/>
      </w:rPr>
      <w:t xml:space="preserve">urse </w:t>
    </w:r>
    <w:r w:rsidR="00C75BE7">
      <w:rPr>
        <w:sz w:val="16"/>
        <w:szCs w:val="16"/>
      </w:rPr>
      <w:t>p</w:t>
    </w:r>
    <w:r w:rsidR="006F1D48" w:rsidRPr="00247BCA">
      <w:rPr>
        <w:sz w:val="16"/>
        <w:szCs w:val="16"/>
      </w:rPr>
      <w:t>ractitioner Shared Care Model (SCM) listings</w:t>
    </w:r>
    <w:sdt>
      <w:sdtPr>
        <w:rPr>
          <w:sz w:val="16"/>
          <w:szCs w:val="16"/>
        </w:rPr>
        <w:id w:val="-183903453"/>
        <w:docPartObj>
          <w:docPartGallery w:val="Page Numbers (Bottom of Page)"/>
          <w:docPartUnique/>
        </w:docPartObj>
      </w:sdtPr>
      <w:sdtEndPr>
        <w:rPr>
          <w:sz w:val="22"/>
          <w:szCs w:val="22"/>
        </w:rPr>
      </w:sdtEndPr>
      <w:sdtContent>
        <w:r w:rsidR="00DF5FCD" w:rsidRPr="00247BCA">
          <w:rPr>
            <w:sz w:val="16"/>
            <w:szCs w:val="16"/>
          </w:rPr>
          <w:t xml:space="preserve"> – July 2024 </w:t>
        </w:r>
        <w:r w:rsidR="00172590">
          <w:rPr>
            <w:sz w:val="16"/>
            <w:szCs w:val="16"/>
          </w:rPr>
          <w:t xml:space="preserve">PBAC </w:t>
        </w:r>
        <w:r w:rsidR="00DF5FCD" w:rsidRPr="00247BCA">
          <w:rPr>
            <w:sz w:val="16"/>
            <w:szCs w:val="16"/>
          </w:rPr>
          <w:t>meeting</w:t>
        </w:r>
        <w:r w:rsidR="00247BCA">
          <w:t xml:space="preserve">   </w:t>
        </w:r>
        <w:r w:rsidR="00C75BE7">
          <w:t xml:space="preserve">        </w:t>
        </w:r>
        <w:r w:rsidR="00247BCA">
          <w:t xml:space="preserve"> </w:t>
        </w:r>
        <w:r w:rsidRPr="002E3851">
          <w:tab/>
        </w:r>
        <w:r w:rsidRPr="002E3851">
          <w:fldChar w:fldCharType="begin"/>
        </w:r>
        <w:r w:rsidRPr="002E3851">
          <w:instrText xml:space="preserve"> PAGE   \* MERGEFORMAT </w:instrText>
        </w:r>
        <w:r w:rsidRPr="002E3851">
          <w:fldChar w:fldCharType="separate"/>
        </w:r>
        <w:r w:rsidRPr="002E3851">
          <w:t>4</w:t>
        </w:r>
        <w:r w:rsidRPr="002E385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7B92A" w14:textId="77777777" w:rsidR="00F157E9" w:rsidRDefault="00F157E9" w:rsidP="002E3851">
      <w:pPr>
        <w:spacing w:after="0" w:line="240" w:lineRule="auto"/>
      </w:pPr>
      <w:r>
        <w:separator/>
      </w:r>
    </w:p>
  </w:footnote>
  <w:footnote w:type="continuationSeparator" w:id="0">
    <w:p w14:paraId="4C25A333" w14:textId="77777777" w:rsidR="00F157E9" w:rsidRDefault="00F157E9" w:rsidP="002E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FA93C" w14:textId="7CF314C7" w:rsidR="002E3851" w:rsidRDefault="002E3851">
    <w:pPr>
      <w:pStyle w:val="Header"/>
    </w:pPr>
    <w:r>
      <w:rPr>
        <w:noProof/>
        <w:lang w:eastAsia="en-AU"/>
      </w:rPr>
      <w:drawing>
        <wp:inline distT="0" distB="0" distL="0" distR="0" wp14:anchorId="14710BDC" wp14:editId="1B52D2A2">
          <wp:extent cx="5731510" cy="937137"/>
          <wp:effectExtent l="0" t="0" r="254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31510" cy="937137"/>
                  </a:xfrm>
                  <a:prstGeom prst="rect">
                    <a:avLst/>
                  </a:prstGeom>
                  <a:ln>
                    <a:noFill/>
                  </a:ln>
                  <a:extLst>
                    <a:ext uri="{53640926-AAD7-44D8-BBD7-CCE9431645EC}">
                      <a14:shadowObscured xmlns:a14="http://schemas.microsoft.com/office/drawing/2010/main"/>
                    </a:ext>
                  </a:extLst>
                </pic:spPr>
              </pic:pic>
            </a:graphicData>
          </a:graphic>
        </wp:inline>
      </w:drawing>
    </w:r>
  </w:p>
  <w:p w14:paraId="5A4D62C0" w14:textId="77777777" w:rsidR="004A0822" w:rsidRDefault="004A0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1AD1"/>
    <w:multiLevelType w:val="hybridMultilevel"/>
    <w:tmpl w:val="68E48C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D2361"/>
    <w:multiLevelType w:val="hybridMultilevel"/>
    <w:tmpl w:val="98662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9574DA"/>
    <w:multiLevelType w:val="hybridMultilevel"/>
    <w:tmpl w:val="1A4A0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93FDA"/>
    <w:multiLevelType w:val="hybridMultilevel"/>
    <w:tmpl w:val="840A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37ACE"/>
    <w:multiLevelType w:val="hybridMultilevel"/>
    <w:tmpl w:val="2A88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5D016B"/>
    <w:multiLevelType w:val="hybridMultilevel"/>
    <w:tmpl w:val="2E1093B2"/>
    <w:lvl w:ilvl="0" w:tplc="B3369A28">
      <w:start w:val="1"/>
      <w:numFmt w:val="bullet"/>
      <w:lvlText w:val="•"/>
      <w:lvlJc w:val="left"/>
      <w:pPr>
        <w:tabs>
          <w:tab w:val="num" w:pos="720"/>
        </w:tabs>
        <w:ind w:left="720" w:hanging="360"/>
      </w:pPr>
      <w:rPr>
        <w:rFonts w:ascii="Arial" w:hAnsi="Arial" w:hint="default"/>
      </w:rPr>
    </w:lvl>
    <w:lvl w:ilvl="1" w:tplc="5E96034E" w:tentative="1">
      <w:start w:val="1"/>
      <w:numFmt w:val="bullet"/>
      <w:lvlText w:val="•"/>
      <w:lvlJc w:val="left"/>
      <w:pPr>
        <w:tabs>
          <w:tab w:val="num" w:pos="1440"/>
        </w:tabs>
        <w:ind w:left="1440" w:hanging="360"/>
      </w:pPr>
      <w:rPr>
        <w:rFonts w:ascii="Arial" w:hAnsi="Arial" w:hint="default"/>
      </w:rPr>
    </w:lvl>
    <w:lvl w:ilvl="2" w:tplc="FFA0384A" w:tentative="1">
      <w:start w:val="1"/>
      <w:numFmt w:val="bullet"/>
      <w:lvlText w:val="•"/>
      <w:lvlJc w:val="left"/>
      <w:pPr>
        <w:tabs>
          <w:tab w:val="num" w:pos="2160"/>
        </w:tabs>
        <w:ind w:left="2160" w:hanging="360"/>
      </w:pPr>
      <w:rPr>
        <w:rFonts w:ascii="Arial" w:hAnsi="Arial" w:hint="default"/>
      </w:rPr>
    </w:lvl>
    <w:lvl w:ilvl="3" w:tplc="E32C9DF6" w:tentative="1">
      <w:start w:val="1"/>
      <w:numFmt w:val="bullet"/>
      <w:lvlText w:val="•"/>
      <w:lvlJc w:val="left"/>
      <w:pPr>
        <w:tabs>
          <w:tab w:val="num" w:pos="2880"/>
        </w:tabs>
        <w:ind w:left="2880" w:hanging="360"/>
      </w:pPr>
      <w:rPr>
        <w:rFonts w:ascii="Arial" w:hAnsi="Arial" w:hint="default"/>
      </w:rPr>
    </w:lvl>
    <w:lvl w:ilvl="4" w:tplc="64A465E8" w:tentative="1">
      <w:start w:val="1"/>
      <w:numFmt w:val="bullet"/>
      <w:lvlText w:val="•"/>
      <w:lvlJc w:val="left"/>
      <w:pPr>
        <w:tabs>
          <w:tab w:val="num" w:pos="3600"/>
        </w:tabs>
        <w:ind w:left="3600" w:hanging="360"/>
      </w:pPr>
      <w:rPr>
        <w:rFonts w:ascii="Arial" w:hAnsi="Arial" w:hint="default"/>
      </w:rPr>
    </w:lvl>
    <w:lvl w:ilvl="5" w:tplc="0AC44BAA" w:tentative="1">
      <w:start w:val="1"/>
      <w:numFmt w:val="bullet"/>
      <w:lvlText w:val="•"/>
      <w:lvlJc w:val="left"/>
      <w:pPr>
        <w:tabs>
          <w:tab w:val="num" w:pos="4320"/>
        </w:tabs>
        <w:ind w:left="4320" w:hanging="360"/>
      </w:pPr>
      <w:rPr>
        <w:rFonts w:ascii="Arial" w:hAnsi="Arial" w:hint="default"/>
      </w:rPr>
    </w:lvl>
    <w:lvl w:ilvl="6" w:tplc="4D10DBDC" w:tentative="1">
      <w:start w:val="1"/>
      <w:numFmt w:val="bullet"/>
      <w:lvlText w:val="•"/>
      <w:lvlJc w:val="left"/>
      <w:pPr>
        <w:tabs>
          <w:tab w:val="num" w:pos="5040"/>
        </w:tabs>
        <w:ind w:left="5040" w:hanging="360"/>
      </w:pPr>
      <w:rPr>
        <w:rFonts w:ascii="Arial" w:hAnsi="Arial" w:hint="default"/>
      </w:rPr>
    </w:lvl>
    <w:lvl w:ilvl="7" w:tplc="2D7079F8" w:tentative="1">
      <w:start w:val="1"/>
      <w:numFmt w:val="bullet"/>
      <w:lvlText w:val="•"/>
      <w:lvlJc w:val="left"/>
      <w:pPr>
        <w:tabs>
          <w:tab w:val="num" w:pos="5760"/>
        </w:tabs>
        <w:ind w:left="5760" w:hanging="360"/>
      </w:pPr>
      <w:rPr>
        <w:rFonts w:ascii="Arial" w:hAnsi="Arial" w:hint="default"/>
      </w:rPr>
    </w:lvl>
    <w:lvl w:ilvl="8" w:tplc="8E8C07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D87230"/>
    <w:multiLevelType w:val="hybridMultilevel"/>
    <w:tmpl w:val="B626440E"/>
    <w:lvl w:ilvl="0" w:tplc="5332032E">
      <w:start w:val="1"/>
      <w:numFmt w:val="bullet"/>
      <w:lvlText w:val="•"/>
      <w:lvlJc w:val="left"/>
      <w:pPr>
        <w:tabs>
          <w:tab w:val="num" w:pos="720"/>
        </w:tabs>
        <w:ind w:left="720" w:hanging="360"/>
      </w:pPr>
      <w:rPr>
        <w:rFonts w:ascii="Arial" w:hAnsi="Arial" w:hint="default"/>
      </w:rPr>
    </w:lvl>
    <w:lvl w:ilvl="1" w:tplc="522E0D10">
      <w:numFmt w:val="bullet"/>
      <w:lvlText w:val="o"/>
      <w:lvlJc w:val="left"/>
      <w:pPr>
        <w:tabs>
          <w:tab w:val="num" w:pos="1440"/>
        </w:tabs>
        <w:ind w:left="1440" w:hanging="360"/>
      </w:pPr>
      <w:rPr>
        <w:rFonts w:ascii="Courier New" w:hAnsi="Courier New" w:hint="default"/>
      </w:rPr>
    </w:lvl>
    <w:lvl w:ilvl="2" w:tplc="6AAE3220" w:tentative="1">
      <w:start w:val="1"/>
      <w:numFmt w:val="bullet"/>
      <w:lvlText w:val="•"/>
      <w:lvlJc w:val="left"/>
      <w:pPr>
        <w:tabs>
          <w:tab w:val="num" w:pos="2160"/>
        </w:tabs>
        <w:ind w:left="2160" w:hanging="360"/>
      </w:pPr>
      <w:rPr>
        <w:rFonts w:ascii="Arial" w:hAnsi="Arial" w:hint="default"/>
      </w:rPr>
    </w:lvl>
    <w:lvl w:ilvl="3" w:tplc="813A097E" w:tentative="1">
      <w:start w:val="1"/>
      <w:numFmt w:val="bullet"/>
      <w:lvlText w:val="•"/>
      <w:lvlJc w:val="left"/>
      <w:pPr>
        <w:tabs>
          <w:tab w:val="num" w:pos="2880"/>
        </w:tabs>
        <w:ind w:left="2880" w:hanging="360"/>
      </w:pPr>
      <w:rPr>
        <w:rFonts w:ascii="Arial" w:hAnsi="Arial" w:hint="default"/>
      </w:rPr>
    </w:lvl>
    <w:lvl w:ilvl="4" w:tplc="7F426E9A" w:tentative="1">
      <w:start w:val="1"/>
      <w:numFmt w:val="bullet"/>
      <w:lvlText w:val="•"/>
      <w:lvlJc w:val="left"/>
      <w:pPr>
        <w:tabs>
          <w:tab w:val="num" w:pos="3600"/>
        </w:tabs>
        <w:ind w:left="3600" w:hanging="360"/>
      </w:pPr>
      <w:rPr>
        <w:rFonts w:ascii="Arial" w:hAnsi="Arial" w:hint="default"/>
      </w:rPr>
    </w:lvl>
    <w:lvl w:ilvl="5" w:tplc="7AFECE44" w:tentative="1">
      <w:start w:val="1"/>
      <w:numFmt w:val="bullet"/>
      <w:lvlText w:val="•"/>
      <w:lvlJc w:val="left"/>
      <w:pPr>
        <w:tabs>
          <w:tab w:val="num" w:pos="4320"/>
        </w:tabs>
        <w:ind w:left="4320" w:hanging="360"/>
      </w:pPr>
      <w:rPr>
        <w:rFonts w:ascii="Arial" w:hAnsi="Arial" w:hint="default"/>
      </w:rPr>
    </w:lvl>
    <w:lvl w:ilvl="6" w:tplc="8124E454" w:tentative="1">
      <w:start w:val="1"/>
      <w:numFmt w:val="bullet"/>
      <w:lvlText w:val="•"/>
      <w:lvlJc w:val="left"/>
      <w:pPr>
        <w:tabs>
          <w:tab w:val="num" w:pos="5040"/>
        </w:tabs>
        <w:ind w:left="5040" w:hanging="360"/>
      </w:pPr>
      <w:rPr>
        <w:rFonts w:ascii="Arial" w:hAnsi="Arial" w:hint="default"/>
      </w:rPr>
    </w:lvl>
    <w:lvl w:ilvl="7" w:tplc="28B4E564" w:tentative="1">
      <w:start w:val="1"/>
      <w:numFmt w:val="bullet"/>
      <w:lvlText w:val="•"/>
      <w:lvlJc w:val="left"/>
      <w:pPr>
        <w:tabs>
          <w:tab w:val="num" w:pos="5760"/>
        </w:tabs>
        <w:ind w:left="5760" w:hanging="360"/>
      </w:pPr>
      <w:rPr>
        <w:rFonts w:ascii="Arial" w:hAnsi="Arial" w:hint="default"/>
      </w:rPr>
    </w:lvl>
    <w:lvl w:ilvl="8" w:tplc="B750FB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B973D5"/>
    <w:multiLevelType w:val="hybridMultilevel"/>
    <w:tmpl w:val="E19C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207C97"/>
    <w:multiLevelType w:val="hybridMultilevel"/>
    <w:tmpl w:val="119E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7262A"/>
    <w:multiLevelType w:val="hybridMultilevel"/>
    <w:tmpl w:val="C678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402051"/>
    <w:multiLevelType w:val="hybridMultilevel"/>
    <w:tmpl w:val="414A4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8B64D25"/>
    <w:multiLevelType w:val="multilevel"/>
    <w:tmpl w:val="77A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4515F"/>
    <w:multiLevelType w:val="hybridMultilevel"/>
    <w:tmpl w:val="DB5C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E2416"/>
    <w:multiLevelType w:val="hybridMultilevel"/>
    <w:tmpl w:val="1512B844"/>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4" w15:restartNumberingAfterBreak="0">
    <w:nsid w:val="56BC2693"/>
    <w:multiLevelType w:val="multilevel"/>
    <w:tmpl w:val="35CA008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5" w15:restartNumberingAfterBreak="0">
    <w:nsid w:val="589066C6"/>
    <w:multiLevelType w:val="hybridMultilevel"/>
    <w:tmpl w:val="30D6FA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61E859FF"/>
    <w:multiLevelType w:val="hybridMultilevel"/>
    <w:tmpl w:val="999A1598"/>
    <w:lvl w:ilvl="0" w:tplc="B9209582">
      <w:start w:val="1"/>
      <w:numFmt w:val="bullet"/>
      <w:lvlText w:val=""/>
      <w:lvlJc w:val="left"/>
      <w:pPr>
        <w:ind w:left="1160" w:hanging="360"/>
      </w:pPr>
      <w:rPr>
        <w:rFonts w:ascii="Symbol" w:hAnsi="Symbol"/>
      </w:rPr>
    </w:lvl>
    <w:lvl w:ilvl="1" w:tplc="12D49930">
      <w:start w:val="1"/>
      <w:numFmt w:val="bullet"/>
      <w:lvlText w:val=""/>
      <w:lvlJc w:val="left"/>
      <w:pPr>
        <w:ind w:left="1160" w:hanging="360"/>
      </w:pPr>
      <w:rPr>
        <w:rFonts w:ascii="Symbol" w:hAnsi="Symbol"/>
      </w:rPr>
    </w:lvl>
    <w:lvl w:ilvl="2" w:tplc="63A400DA">
      <w:start w:val="1"/>
      <w:numFmt w:val="bullet"/>
      <w:lvlText w:val=""/>
      <w:lvlJc w:val="left"/>
      <w:pPr>
        <w:ind w:left="1160" w:hanging="360"/>
      </w:pPr>
      <w:rPr>
        <w:rFonts w:ascii="Symbol" w:hAnsi="Symbol"/>
      </w:rPr>
    </w:lvl>
    <w:lvl w:ilvl="3" w:tplc="2ADE0A06">
      <w:start w:val="1"/>
      <w:numFmt w:val="bullet"/>
      <w:lvlText w:val=""/>
      <w:lvlJc w:val="left"/>
      <w:pPr>
        <w:ind w:left="1160" w:hanging="360"/>
      </w:pPr>
      <w:rPr>
        <w:rFonts w:ascii="Symbol" w:hAnsi="Symbol"/>
      </w:rPr>
    </w:lvl>
    <w:lvl w:ilvl="4" w:tplc="F22E8E8E">
      <w:start w:val="1"/>
      <w:numFmt w:val="bullet"/>
      <w:lvlText w:val=""/>
      <w:lvlJc w:val="left"/>
      <w:pPr>
        <w:ind w:left="1160" w:hanging="360"/>
      </w:pPr>
      <w:rPr>
        <w:rFonts w:ascii="Symbol" w:hAnsi="Symbol"/>
      </w:rPr>
    </w:lvl>
    <w:lvl w:ilvl="5" w:tplc="76A2BEC6">
      <w:start w:val="1"/>
      <w:numFmt w:val="bullet"/>
      <w:lvlText w:val=""/>
      <w:lvlJc w:val="left"/>
      <w:pPr>
        <w:ind w:left="1160" w:hanging="360"/>
      </w:pPr>
      <w:rPr>
        <w:rFonts w:ascii="Symbol" w:hAnsi="Symbol"/>
      </w:rPr>
    </w:lvl>
    <w:lvl w:ilvl="6" w:tplc="2C0C44B4">
      <w:start w:val="1"/>
      <w:numFmt w:val="bullet"/>
      <w:lvlText w:val=""/>
      <w:lvlJc w:val="left"/>
      <w:pPr>
        <w:ind w:left="1160" w:hanging="360"/>
      </w:pPr>
      <w:rPr>
        <w:rFonts w:ascii="Symbol" w:hAnsi="Symbol"/>
      </w:rPr>
    </w:lvl>
    <w:lvl w:ilvl="7" w:tplc="0B30AD30">
      <w:start w:val="1"/>
      <w:numFmt w:val="bullet"/>
      <w:lvlText w:val=""/>
      <w:lvlJc w:val="left"/>
      <w:pPr>
        <w:ind w:left="1160" w:hanging="360"/>
      </w:pPr>
      <w:rPr>
        <w:rFonts w:ascii="Symbol" w:hAnsi="Symbol"/>
      </w:rPr>
    </w:lvl>
    <w:lvl w:ilvl="8" w:tplc="8C96E116">
      <w:start w:val="1"/>
      <w:numFmt w:val="bullet"/>
      <w:lvlText w:val=""/>
      <w:lvlJc w:val="left"/>
      <w:pPr>
        <w:ind w:left="1160" w:hanging="360"/>
      </w:pPr>
      <w:rPr>
        <w:rFonts w:ascii="Symbol" w:hAnsi="Symbol"/>
      </w:rPr>
    </w:lvl>
  </w:abstractNum>
  <w:abstractNum w:abstractNumId="17" w15:restartNumberingAfterBreak="0">
    <w:nsid w:val="64B71C7E"/>
    <w:multiLevelType w:val="hybridMultilevel"/>
    <w:tmpl w:val="AE9C2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AA15F3"/>
    <w:multiLevelType w:val="hybridMultilevel"/>
    <w:tmpl w:val="96547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C16A8E"/>
    <w:multiLevelType w:val="hybridMultilevel"/>
    <w:tmpl w:val="1316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142362"/>
    <w:multiLevelType w:val="hybridMultilevel"/>
    <w:tmpl w:val="5EC29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1" w15:restartNumberingAfterBreak="0">
    <w:nsid w:val="6EE87D01"/>
    <w:multiLevelType w:val="hybridMultilevel"/>
    <w:tmpl w:val="1F1E2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0D5A84"/>
    <w:multiLevelType w:val="hybridMultilevel"/>
    <w:tmpl w:val="F6E2D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231913"/>
    <w:multiLevelType w:val="hybridMultilevel"/>
    <w:tmpl w:val="26ACE1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5410602"/>
    <w:multiLevelType w:val="hybridMultilevel"/>
    <w:tmpl w:val="1A28B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5828AE"/>
    <w:multiLevelType w:val="multilevel"/>
    <w:tmpl w:val="89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6A4A17"/>
    <w:multiLevelType w:val="hybridMultilevel"/>
    <w:tmpl w:val="14F0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C256D04"/>
    <w:multiLevelType w:val="hybridMultilevel"/>
    <w:tmpl w:val="1EF8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016BC3"/>
    <w:multiLevelType w:val="hybridMultilevel"/>
    <w:tmpl w:val="E4147A38"/>
    <w:lvl w:ilvl="0" w:tplc="1D18A5CA">
      <w:start w:val="1"/>
      <w:numFmt w:val="bullet"/>
      <w:lvlText w:val=""/>
      <w:lvlJc w:val="left"/>
      <w:pPr>
        <w:ind w:left="2160" w:hanging="360"/>
      </w:pPr>
      <w:rPr>
        <w:rFonts w:ascii="Symbol" w:hAnsi="Symbol"/>
      </w:rPr>
    </w:lvl>
    <w:lvl w:ilvl="1" w:tplc="BFCC7296">
      <w:start w:val="1"/>
      <w:numFmt w:val="bullet"/>
      <w:lvlText w:val=""/>
      <w:lvlJc w:val="left"/>
      <w:pPr>
        <w:ind w:left="2160" w:hanging="360"/>
      </w:pPr>
      <w:rPr>
        <w:rFonts w:ascii="Symbol" w:hAnsi="Symbol"/>
      </w:rPr>
    </w:lvl>
    <w:lvl w:ilvl="2" w:tplc="539ABEB2">
      <w:start w:val="1"/>
      <w:numFmt w:val="bullet"/>
      <w:lvlText w:val=""/>
      <w:lvlJc w:val="left"/>
      <w:pPr>
        <w:ind w:left="2160" w:hanging="360"/>
      </w:pPr>
      <w:rPr>
        <w:rFonts w:ascii="Symbol" w:hAnsi="Symbol"/>
      </w:rPr>
    </w:lvl>
    <w:lvl w:ilvl="3" w:tplc="24787D7E">
      <w:start w:val="1"/>
      <w:numFmt w:val="bullet"/>
      <w:lvlText w:val=""/>
      <w:lvlJc w:val="left"/>
      <w:pPr>
        <w:ind w:left="2160" w:hanging="360"/>
      </w:pPr>
      <w:rPr>
        <w:rFonts w:ascii="Symbol" w:hAnsi="Symbol"/>
      </w:rPr>
    </w:lvl>
    <w:lvl w:ilvl="4" w:tplc="AB2C5E74">
      <w:start w:val="1"/>
      <w:numFmt w:val="bullet"/>
      <w:lvlText w:val=""/>
      <w:lvlJc w:val="left"/>
      <w:pPr>
        <w:ind w:left="2160" w:hanging="360"/>
      </w:pPr>
      <w:rPr>
        <w:rFonts w:ascii="Symbol" w:hAnsi="Symbol"/>
      </w:rPr>
    </w:lvl>
    <w:lvl w:ilvl="5" w:tplc="E66EACAA">
      <w:start w:val="1"/>
      <w:numFmt w:val="bullet"/>
      <w:lvlText w:val=""/>
      <w:lvlJc w:val="left"/>
      <w:pPr>
        <w:ind w:left="2160" w:hanging="360"/>
      </w:pPr>
      <w:rPr>
        <w:rFonts w:ascii="Symbol" w:hAnsi="Symbol"/>
      </w:rPr>
    </w:lvl>
    <w:lvl w:ilvl="6" w:tplc="973ECF8E">
      <w:start w:val="1"/>
      <w:numFmt w:val="bullet"/>
      <w:lvlText w:val=""/>
      <w:lvlJc w:val="left"/>
      <w:pPr>
        <w:ind w:left="2160" w:hanging="360"/>
      </w:pPr>
      <w:rPr>
        <w:rFonts w:ascii="Symbol" w:hAnsi="Symbol"/>
      </w:rPr>
    </w:lvl>
    <w:lvl w:ilvl="7" w:tplc="330CC3D2">
      <w:start w:val="1"/>
      <w:numFmt w:val="bullet"/>
      <w:lvlText w:val=""/>
      <w:lvlJc w:val="left"/>
      <w:pPr>
        <w:ind w:left="2160" w:hanging="360"/>
      </w:pPr>
      <w:rPr>
        <w:rFonts w:ascii="Symbol" w:hAnsi="Symbol"/>
      </w:rPr>
    </w:lvl>
    <w:lvl w:ilvl="8" w:tplc="FF86651A">
      <w:start w:val="1"/>
      <w:numFmt w:val="bullet"/>
      <w:lvlText w:val=""/>
      <w:lvlJc w:val="left"/>
      <w:pPr>
        <w:ind w:left="2160" w:hanging="360"/>
      </w:pPr>
      <w:rPr>
        <w:rFonts w:ascii="Symbol" w:hAnsi="Symbol"/>
      </w:rPr>
    </w:lvl>
  </w:abstractNum>
  <w:num w:numId="1" w16cid:durableId="1923444207">
    <w:abstractNumId w:val="27"/>
  </w:num>
  <w:num w:numId="2" w16cid:durableId="1306280192">
    <w:abstractNumId w:val="22"/>
  </w:num>
  <w:num w:numId="3" w16cid:durableId="890725674">
    <w:abstractNumId w:val="15"/>
  </w:num>
  <w:num w:numId="4" w16cid:durableId="748159009">
    <w:abstractNumId w:val="9"/>
  </w:num>
  <w:num w:numId="5" w16cid:durableId="1764646313">
    <w:abstractNumId w:val="19"/>
  </w:num>
  <w:num w:numId="6" w16cid:durableId="2079940783">
    <w:abstractNumId w:val="17"/>
  </w:num>
  <w:num w:numId="7" w16cid:durableId="335815680">
    <w:abstractNumId w:val="12"/>
  </w:num>
  <w:num w:numId="8" w16cid:durableId="1413308192">
    <w:abstractNumId w:val="16"/>
  </w:num>
  <w:num w:numId="9" w16cid:durableId="1244952406">
    <w:abstractNumId w:val="25"/>
  </w:num>
  <w:num w:numId="10" w16cid:durableId="1405377542">
    <w:abstractNumId w:val="24"/>
  </w:num>
  <w:num w:numId="11" w16cid:durableId="1142425831">
    <w:abstractNumId w:val="11"/>
  </w:num>
  <w:num w:numId="12" w16cid:durableId="1203716071">
    <w:abstractNumId w:val="5"/>
  </w:num>
  <w:num w:numId="13" w16cid:durableId="1746607933">
    <w:abstractNumId w:val="6"/>
  </w:num>
  <w:num w:numId="14" w16cid:durableId="1846749596">
    <w:abstractNumId w:val="20"/>
  </w:num>
  <w:num w:numId="15" w16cid:durableId="1661809180">
    <w:abstractNumId w:val="10"/>
  </w:num>
  <w:num w:numId="16" w16cid:durableId="2001497418">
    <w:abstractNumId w:val="28"/>
  </w:num>
  <w:num w:numId="17" w16cid:durableId="2069037651">
    <w:abstractNumId w:val="0"/>
  </w:num>
  <w:num w:numId="18" w16cid:durableId="1679652430">
    <w:abstractNumId w:val="1"/>
  </w:num>
  <w:num w:numId="19" w16cid:durableId="1471558028">
    <w:abstractNumId w:val="7"/>
  </w:num>
  <w:num w:numId="20" w16cid:durableId="1326200833">
    <w:abstractNumId w:val="18"/>
  </w:num>
  <w:num w:numId="21" w16cid:durableId="650407551">
    <w:abstractNumId w:val="26"/>
  </w:num>
  <w:num w:numId="22" w16cid:durableId="153882153">
    <w:abstractNumId w:val="14"/>
  </w:num>
  <w:num w:numId="23" w16cid:durableId="951474939">
    <w:abstractNumId w:val="8"/>
  </w:num>
  <w:num w:numId="24" w16cid:durableId="968826897">
    <w:abstractNumId w:val="23"/>
  </w:num>
  <w:num w:numId="25" w16cid:durableId="997271078">
    <w:abstractNumId w:val="4"/>
  </w:num>
  <w:num w:numId="26" w16cid:durableId="717166605">
    <w:abstractNumId w:val="3"/>
  </w:num>
  <w:num w:numId="27" w16cid:durableId="1586646935">
    <w:abstractNumId w:val="2"/>
  </w:num>
  <w:num w:numId="28" w16cid:durableId="2039773198">
    <w:abstractNumId w:val="21"/>
  </w:num>
  <w:num w:numId="29" w16cid:durableId="1478836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51"/>
    <w:rsid w:val="00001087"/>
    <w:rsid w:val="00005D23"/>
    <w:rsid w:val="00006646"/>
    <w:rsid w:val="00007170"/>
    <w:rsid w:val="00023BDF"/>
    <w:rsid w:val="00023E47"/>
    <w:rsid w:val="0002610C"/>
    <w:rsid w:val="0002665C"/>
    <w:rsid w:val="000304B6"/>
    <w:rsid w:val="00030DC5"/>
    <w:rsid w:val="0003106F"/>
    <w:rsid w:val="00036C47"/>
    <w:rsid w:val="000410F1"/>
    <w:rsid w:val="00042AD0"/>
    <w:rsid w:val="000437CE"/>
    <w:rsid w:val="0004439C"/>
    <w:rsid w:val="00051FD0"/>
    <w:rsid w:val="00054CD4"/>
    <w:rsid w:val="00064D7E"/>
    <w:rsid w:val="00065DB3"/>
    <w:rsid w:val="00066178"/>
    <w:rsid w:val="000674A8"/>
    <w:rsid w:val="00067706"/>
    <w:rsid w:val="000773E9"/>
    <w:rsid w:val="00077953"/>
    <w:rsid w:val="000817FD"/>
    <w:rsid w:val="00085A71"/>
    <w:rsid w:val="00090761"/>
    <w:rsid w:val="00094144"/>
    <w:rsid w:val="000942F6"/>
    <w:rsid w:val="00096457"/>
    <w:rsid w:val="000967E3"/>
    <w:rsid w:val="000973DF"/>
    <w:rsid w:val="000A0712"/>
    <w:rsid w:val="000A24D7"/>
    <w:rsid w:val="000A442D"/>
    <w:rsid w:val="000A5DFD"/>
    <w:rsid w:val="000B07B0"/>
    <w:rsid w:val="000B16EF"/>
    <w:rsid w:val="000B1EFB"/>
    <w:rsid w:val="000B4A3B"/>
    <w:rsid w:val="000B521A"/>
    <w:rsid w:val="000C04E4"/>
    <w:rsid w:val="000C32F3"/>
    <w:rsid w:val="000C6357"/>
    <w:rsid w:val="000D3868"/>
    <w:rsid w:val="000D6B0F"/>
    <w:rsid w:val="000E1371"/>
    <w:rsid w:val="000E711A"/>
    <w:rsid w:val="000F4412"/>
    <w:rsid w:val="000F5D59"/>
    <w:rsid w:val="000F6640"/>
    <w:rsid w:val="000F6F81"/>
    <w:rsid w:val="001022CB"/>
    <w:rsid w:val="00102844"/>
    <w:rsid w:val="001028DD"/>
    <w:rsid w:val="00105CA2"/>
    <w:rsid w:val="00106F3F"/>
    <w:rsid w:val="00110557"/>
    <w:rsid w:val="001138CE"/>
    <w:rsid w:val="001154D1"/>
    <w:rsid w:val="001204C2"/>
    <w:rsid w:val="00121975"/>
    <w:rsid w:val="00122ACC"/>
    <w:rsid w:val="001244CD"/>
    <w:rsid w:val="00127C79"/>
    <w:rsid w:val="0013317F"/>
    <w:rsid w:val="00133D51"/>
    <w:rsid w:val="00136B15"/>
    <w:rsid w:val="00141C6E"/>
    <w:rsid w:val="00142E8B"/>
    <w:rsid w:val="00143A36"/>
    <w:rsid w:val="00145349"/>
    <w:rsid w:val="00146956"/>
    <w:rsid w:val="00152FCB"/>
    <w:rsid w:val="00153820"/>
    <w:rsid w:val="00157DFD"/>
    <w:rsid w:val="00161DEC"/>
    <w:rsid w:val="001624DA"/>
    <w:rsid w:val="00162E2C"/>
    <w:rsid w:val="00172590"/>
    <w:rsid w:val="00187CCE"/>
    <w:rsid w:val="00190E33"/>
    <w:rsid w:val="00191775"/>
    <w:rsid w:val="001973C1"/>
    <w:rsid w:val="001A290C"/>
    <w:rsid w:val="001A5ABA"/>
    <w:rsid w:val="001A6D9A"/>
    <w:rsid w:val="001B02E8"/>
    <w:rsid w:val="001B28AA"/>
    <w:rsid w:val="001C2A9F"/>
    <w:rsid w:val="001C2F1E"/>
    <w:rsid w:val="001C4707"/>
    <w:rsid w:val="001C60A3"/>
    <w:rsid w:val="001C7D7C"/>
    <w:rsid w:val="001D2BA6"/>
    <w:rsid w:val="001D34D5"/>
    <w:rsid w:val="001D4A2E"/>
    <w:rsid w:val="001E0463"/>
    <w:rsid w:val="001E4463"/>
    <w:rsid w:val="001E4BF3"/>
    <w:rsid w:val="001F570B"/>
    <w:rsid w:val="00203DF5"/>
    <w:rsid w:val="002105C6"/>
    <w:rsid w:val="00210B4E"/>
    <w:rsid w:val="00213A14"/>
    <w:rsid w:val="0021523A"/>
    <w:rsid w:val="00217F82"/>
    <w:rsid w:val="00220E7B"/>
    <w:rsid w:val="0022214E"/>
    <w:rsid w:val="002226ED"/>
    <w:rsid w:val="002245B5"/>
    <w:rsid w:val="002356CF"/>
    <w:rsid w:val="00240EE4"/>
    <w:rsid w:val="002437A4"/>
    <w:rsid w:val="00247491"/>
    <w:rsid w:val="00247515"/>
    <w:rsid w:val="00247AC8"/>
    <w:rsid w:val="00247BCA"/>
    <w:rsid w:val="00251F7F"/>
    <w:rsid w:val="00252739"/>
    <w:rsid w:val="00252F88"/>
    <w:rsid w:val="00261769"/>
    <w:rsid w:val="00263B0B"/>
    <w:rsid w:val="0026527A"/>
    <w:rsid w:val="00265E01"/>
    <w:rsid w:val="00275C05"/>
    <w:rsid w:val="00277C1D"/>
    <w:rsid w:val="00285018"/>
    <w:rsid w:val="00285B66"/>
    <w:rsid w:val="00285F1A"/>
    <w:rsid w:val="00286417"/>
    <w:rsid w:val="00287424"/>
    <w:rsid w:val="00293CD6"/>
    <w:rsid w:val="002967B3"/>
    <w:rsid w:val="002B1E2B"/>
    <w:rsid w:val="002B6BD4"/>
    <w:rsid w:val="002C054A"/>
    <w:rsid w:val="002C08BE"/>
    <w:rsid w:val="002C4197"/>
    <w:rsid w:val="002C506D"/>
    <w:rsid w:val="002D3296"/>
    <w:rsid w:val="002D707C"/>
    <w:rsid w:val="002D79FD"/>
    <w:rsid w:val="002E3851"/>
    <w:rsid w:val="002E569F"/>
    <w:rsid w:val="002E6A28"/>
    <w:rsid w:val="002E73CB"/>
    <w:rsid w:val="002F29F3"/>
    <w:rsid w:val="002F44BC"/>
    <w:rsid w:val="002F5052"/>
    <w:rsid w:val="002F604C"/>
    <w:rsid w:val="002F6648"/>
    <w:rsid w:val="002F7E03"/>
    <w:rsid w:val="00302CFD"/>
    <w:rsid w:val="00304A22"/>
    <w:rsid w:val="003053CC"/>
    <w:rsid w:val="00311314"/>
    <w:rsid w:val="00312125"/>
    <w:rsid w:val="003142CA"/>
    <w:rsid w:val="003145D3"/>
    <w:rsid w:val="003176BA"/>
    <w:rsid w:val="00321BD5"/>
    <w:rsid w:val="00322EE6"/>
    <w:rsid w:val="0032576D"/>
    <w:rsid w:val="003317F2"/>
    <w:rsid w:val="00331FB7"/>
    <w:rsid w:val="00332020"/>
    <w:rsid w:val="00332A9D"/>
    <w:rsid w:val="00335408"/>
    <w:rsid w:val="00335751"/>
    <w:rsid w:val="00335BE3"/>
    <w:rsid w:val="0034003D"/>
    <w:rsid w:val="00342057"/>
    <w:rsid w:val="003449C3"/>
    <w:rsid w:val="0034502F"/>
    <w:rsid w:val="00345584"/>
    <w:rsid w:val="00347640"/>
    <w:rsid w:val="00351908"/>
    <w:rsid w:val="003564D2"/>
    <w:rsid w:val="00356856"/>
    <w:rsid w:val="00356F43"/>
    <w:rsid w:val="00362A26"/>
    <w:rsid w:val="00366816"/>
    <w:rsid w:val="00366C0C"/>
    <w:rsid w:val="00380C9F"/>
    <w:rsid w:val="00381137"/>
    <w:rsid w:val="00381534"/>
    <w:rsid w:val="003817BE"/>
    <w:rsid w:val="00383B82"/>
    <w:rsid w:val="0038401B"/>
    <w:rsid w:val="00385CB8"/>
    <w:rsid w:val="003861F1"/>
    <w:rsid w:val="0039000C"/>
    <w:rsid w:val="003956F5"/>
    <w:rsid w:val="00397183"/>
    <w:rsid w:val="003A1AA5"/>
    <w:rsid w:val="003A1E0D"/>
    <w:rsid w:val="003A22B0"/>
    <w:rsid w:val="003A6581"/>
    <w:rsid w:val="003A67AA"/>
    <w:rsid w:val="003B2A03"/>
    <w:rsid w:val="003B30A6"/>
    <w:rsid w:val="003B4A5A"/>
    <w:rsid w:val="003B59D1"/>
    <w:rsid w:val="003B698E"/>
    <w:rsid w:val="003C3B48"/>
    <w:rsid w:val="003C4676"/>
    <w:rsid w:val="003C7704"/>
    <w:rsid w:val="003C770C"/>
    <w:rsid w:val="003D652F"/>
    <w:rsid w:val="003D7D42"/>
    <w:rsid w:val="003E23E8"/>
    <w:rsid w:val="003E267B"/>
    <w:rsid w:val="003E6780"/>
    <w:rsid w:val="003E75AF"/>
    <w:rsid w:val="003F5083"/>
    <w:rsid w:val="003F53DB"/>
    <w:rsid w:val="003F65A0"/>
    <w:rsid w:val="00401E3D"/>
    <w:rsid w:val="00401FE9"/>
    <w:rsid w:val="00404B59"/>
    <w:rsid w:val="00404F2A"/>
    <w:rsid w:val="00405C02"/>
    <w:rsid w:val="00406EE4"/>
    <w:rsid w:val="00412F38"/>
    <w:rsid w:val="004218D5"/>
    <w:rsid w:val="0042451E"/>
    <w:rsid w:val="00425F3D"/>
    <w:rsid w:val="00431F3E"/>
    <w:rsid w:val="00433975"/>
    <w:rsid w:val="00433D87"/>
    <w:rsid w:val="0043434B"/>
    <w:rsid w:val="00434C34"/>
    <w:rsid w:val="00435256"/>
    <w:rsid w:val="00436B36"/>
    <w:rsid w:val="00440423"/>
    <w:rsid w:val="004409D7"/>
    <w:rsid w:val="00442603"/>
    <w:rsid w:val="0044437F"/>
    <w:rsid w:val="00447BF5"/>
    <w:rsid w:val="00451C1D"/>
    <w:rsid w:val="00457445"/>
    <w:rsid w:val="0046228A"/>
    <w:rsid w:val="00466827"/>
    <w:rsid w:val="0047664B"/>
    <w:rsid w:val="004770E0"/>
    <w:rsid w:val="00482106"/>
    <w:rsid w:val="00484E3F"/>
    <w:rsid w:val="0048769B"/>
    <w:rsid w:val="0049130D"/>
    <w:rsid w:val="0049165C"/>
    <w:rsid w:val="00495E3F"/>
    <w:rsid w:val="00497C48"/>
    <w:rsid w:val="004A05F3"/>
    <w:rsid w:val="004A0822"/>
    <w:rsid w:val="004A3015"/>
    <w:rsid w:val="004A3138"/>
    <w:rsid w:val="004A36EA"/>
    <w:rsid w:val="004A4403"/>
    <w:rsid w:val="004A4C8C"/>
    <w:rsid w:val="004A60B8"/>
    <w:rsid w:val="004B2D74"/>
    <w:rsid w:val="004B4A3C"/>
    <w:rsid w:val="004C0A2D"/>
    <w:rsid w:val="004C0F53"/>
    <w:rsid w:val="004C5D20"/>
    <w:rsid w:val="004D273A"/>
    <w:rsid w:val="004D4320"/>
    <w:rsid w:val="004D7A41"/>
    <w:rsid w:val="004E2DCD"/>
    <w:rsid w:val="004E4C65"/>
    <w:rsid w:val="004E5FA8"/>
    <w:rsid w:val="004E7C32"/>
    <w:rsid w:val="004F3A0D"/>
    <w:rsid w:val="004F5D6D"/>
    <w:rsid w:val="00506CFE"/>
    <w:rsid w:val="0051063F"/>
    <w:rsid w:val="0051243C"/>
    <w:rsid w:val="005163E2"/>
    <w:rsid w:val="005171DC"/>
    <w:rsid w:val="005202C9"/>
    <w:rsid w:val="0052399A"/>
    <w:rsid w:val="00527188"/>
    <w:rsid w:val="00527481"/>
    <w:rsid w:val="00527D43"/>
    <w:rsid w:val="00530C6C"/>
    <w:rsid w:val="005332F5"/>
    <w:rsid w:val="00533850"/>
    <w:rsid w:val="00534BAC"/>
    <w:rsid w:val="005370B0"/>
    <w:rsid w:val="00537CC8"/>
    <w:rsid w:val="00542D31"/>
    <w:rsid w:val="00553A97"/>
    <w:rsid w:val="005542BA"/>
    <w:rsid w:val="005542E3"/>
    <w:rsid w:val="00557335"/>
    <w:rsid w:val="00560C6A"/>
    <w:rsid w:val="00562120"/>
    <w:rsid w:val="00562266"/>
    <w:rsid w:val="005634F4"/>
    <w:rsid w:val="0056361F"/>
    <w:rsid w:val="0057224A"/>
    <w:rsid w:val="00572343"/>
    <w:rsid w:val="00572F6E"/>
    <w:rsid w:val="00582426"/>
    <w:rsid w:val="00583570"/>
    <w:rsid w:val="00591F91"/>
    <w:rsid w:val="00594193"/>
    <w:rsid w:val="005959C6"/>
    <w:rsid w:val="00597673"/>
    <w:rsid w:val="005A06F7"/>
    <w:rsid w:val="005A2E39"/>
    <w:rsid w:val="005A31A0"/>
    <w:rsid w:val="005A757D"/>
    <w:rsid w:val="005A79AC"/>
    <w:rsid w:val="005B081F"/>
    <w:rsid w:val="005B1EB4"/>
    <w:rsid w:val="005B2A19"/>
    <w:rsid w:val="005B42E4"/>
    <w:rsid w:val="005B475B"/>
    <w:rsid w:val="005B612F"/>
    <w:rsid w:val="005C044E"/>
    <w:rsid w:val="005C23B7"/>
    <w:rsid w:val="005C443B"/>
    <w:rsid w:val="005D138D"/>
    <w:rsid w:val="005D25F5"/>
    <w:rsid w:val="005D37F9"/>
    <w:rsid w:val="005D6575"/>
    <w:rsid w:val="005E0338"/>
    <w:rsid w:val="005E794A"/>
    <w:rsid w:val="005F3AB5"/>
    <w:rsid w:val="005F4429"/>
    <w:rsid w:val="005F5E96"/>
    <w:rsid w:val="00603F3C"/>
    <w:rsid w:val="00605DBD"/>
    <w:rsid w:val="00612577"/>
    <w:rsid w:val="006129A2"/>
    <w:rsid w:val="00615FF5"/>
    <w:rsid w:val="00621270"/>
    <w:rsid w:val="00621D94"/>
    <w:rsid w:val="006221BE"/>
    <w:rsid w:val="00622227"/>
    <w:rsid w:val="00624AEC"/>
    <w:rsid w:val="00630176"/>
    <w:rsid w:val="00635606"/>
    <w:rsid w:val="00640F94"/>
    <w:rsid w:val="00644B33"/>
    <w:rsid w:val="006540E1"/>
    <w:rsid w:val="0065604D"/>
    <w:rsid w:val="006562EA"/>
    <w:rsid w:val="00662B03"/>
    <w:rsid w:val="00664BFD"/>
    <w:rsid w:val="006704FE"/>
    <w:rsid w:val="006716EB"/>
    <w:rsid w:val="00671938"/>
    <w:rsid w:val="00672979"/>
    <w:rsid w:val="00675AF8"/>
    <w:rsid w:val="00676F46"/>
    <w:rsid w:val="00677632"/>
    <w:rsid w:val="006935B6"/>
    <w:rsid w:val="0069366B"/>
    <w:rsid w:val="00694071"/>
    <w:rsid w:val="00695538"/>
    <w:rsid w:val="00697FEB"/>
    <w:rsid w:val="006A291D"/>
    <w:rsid w:val="006A56AC"/>
    <w:rsid w:val="006A72F0"/>
    <w:rsid w:val="006B0D2D"/>
    <w:rsid w:val="006B20DD"/>
    <w:rsid w:val="006B25D9"/>
    <w:rsid w:val="006B6FB6"/>
    <w:rsid w:val="006C14C4"/>
    <w:rsid w:val="006C1E52"/>
    <w:rsid w:val="006C24BC"/>
    <w:rsid w:val="006C556D"/>
    <w:rsid w:val="006C698C"/>
    <w:rsid w:val="006D1D9F"/>
    <w:rsid w:val="006D1F6F"/>
    <w:rsid w:val="006D7FF9"/>
    <w:rsid w:val="006E315C"/>
    <w:rsid w:val="006E3AB6"/>
    <w:rsid w:val="006E3EE2"/>
    <w:rsid w:val="006E4729"/>
    <w:rsid w:val="006E4B88"/>
    <w:rsid w:val="006E4F7B"/>
    <w:rsid w:val="006F1A41"/>
    <w:rsid w:val="006F1D48"/>
    <w:rsid w:val="006F69E2"/>
    <w:rsid w:val="00700C40"/>
    <w:rsid w:val="00700E19"/>
    <w:rsid w:val="00702541"/>
    <w:rsid w:val="00703231"/>
    <w:rsid w:val="0070426B"/>
    <w:rsid w:val="007108B8"/>
    <w:rsid w:val="007112BF"/>
    <w:rsid w:val="00717BEC"/>
    <w:rsid w:val="00722961"/>
    <w:rsid w:val="00727ED2"/>
    <w:rsid w:val="00737FB7"/>
    <w:rsid w:val="0074015B"/>
    <w:rsid w:val="007404B6"/>
    <w:rsid w:val="00744394"/>
    <w:rsid w:val="007454D3"/>
    <w:rsid w:val="00745C34"/>
    <w:rsid w:val="00745D4F"/>
    <w:rsid w:val="007514CC"/>
    <w:rsid w:val="007526BE"/>
    <w:rsid w:val="00754D6B"/>
    <w:rsid w:val="00755764"/>
    <w:rsid w:val="00762EC1"/>
    <w:rsid w:val="0077143B"/>
    <w:rsid w:val="00771C26"/>
    <w:rsid w:val="00771F58"/>
    <w:rsid w:val="00774D2A"/>
    <w:rsid w:val="007869C4"/>
    <w:rsid w:val="00787E0F"/>
    <w:rsid w:val="00790347"/>
    <w:rsid w:val="0079035A"/>
    <w:rsid w:val="00792827"/>
    <w:rsid w:val="00792FF3"/>
    <w:rsid w:val="00796E42"/>
    <w:rsid w:val="00797C65"/>
    <w:rsid w:val="007A0BAD"/>
    <w:rsid w:val="007A21EE"/>
    <w:rsid w:val="007A38DD"/>
    <w:rsid w:val="007A3A1D"/>
    <w:rsid w:val="007A45FB"/>
    <w:rsid w:val="007A466B"/>
    <w:rsid w:val="007A5503"/>
    <w:rsid w:val="007A6801"/>
    <w:rsid w:val="007B2D01"/>
    <w:rsid w:val="007B37BF"/>
    <w:rsid w:val="007C1E26"/>
    <w:rsid w:val="007C24F0"/>
    <w:rsid w:val="007C40E4"/>
    <w:rsid w:val="007C4741"/>
    <w:rsid w:val="007C5F4A"/>
    <w:rsid w:val="007C63D5"/>
    <w:rsid w:val="007D187E"/>
    <w:rsid w:val="007D5E38"/>
    <w:rsid w:val="007E5568"/>
    <w:rsid w:val="007E6551"/>
    <w:rsid w:val="007F11A4"/>
    <w:rsid w:val="007F12BF"/>
    <w:rsid w:val="007F6830"/>
    <w:rsid w:val="00800FCC"/>
    <w:rsid w:val="00801651"/>
    <w:rsid w:val="00803925"/>
    <w:rsid w:val="00804D18"/>
    <w:rsid w:val="00806364"/>
    <w:rsid w:val="00807BA8"/>
    <w:rsid w:val="008160CE"/>
    <w:rsid w:val="008207E0"/>
    <w:rsid w:val="00820991"/>
    <w:rsid w:val="00820CDF"/>
    <w:rsid w:val="008240AE"/>
    <w:rsid w:val="00826DD5"/>
    <w:rsid w:val="008351DD"/>
    <w:rsid w:val="00840BC5"/>
    <w:rsid w:val="00840CCE"/>
    <w:rsid w:val="00845B06"/>
    <w:rsid w:val="00845B71"/>
    <w:rsid w:val="00846CB5"/>
    <w:rsid w:val="0084743C"/>
    <w:rsid w:val="00850B45"/>
    <w:rsid w:val="0085558C"/>
    <w:rsid w:val="008556D7"/>
    <w:rsid w:val="008577FA"/>
    <w:rsid w:val="00860F4B"/>
    <w:rsid w:val="00860F62"/>
    <w:rsid w:val="008667B2"/>
    <w:rsid w:val="008703BA"/>
    <w:rsid w:val="00875DB2"/>
    <w:rsid w:val="0088264E"/>
    <w:rsid w:val="00884F0B"/>
    <w:rsid w:val="00885596"/>
    <w:rsid w:val="00890D0F"/>
    <w:rsid w:val="00895FEB"/>
    <w:rsid w:val="00897E26"/>
    <w:rsid w:val="008A3E97"/>
    <w:rsid w:val="008A436A"/>
    <w:rsid w:val="008B3929"/>
    <w:rsid w:val="008B5AB2"/>
    <w:rsid w:val="008C0AE4"/>
    <w:rsid w:val="008C1419"/>
    <w:rsid w:val="008C1573"/>
    <w:rsid w:val="008C2FCA"/>
    <w:rsid w:val="008C3932"/>
    <w:rsid w:val="008C3E88"/>
    <w:rsid w:val="008C7EDD"/>
    <w:rsid w:val="008D14B0"/>
    <w:rsid w:val="008D15CE"/>
    <w:rsid w:val="008D18CD"/>
    <w:rsid w:val="008D2365"/>
    <w:rsid w:val="008D5F47"/>
    <w:rsid w:val="008D681E"/>
    <w:rsid w:val="008E54BE"/>
    <w:rsid w:val="008E5594"/>
    <w:rsid w:val="008E7136"/>
    <w:rsid w:val="008F178A"/>
    <w:rsid w:val="008F38B9"/>
    <w:rsid w:val="008F49B1"/>
    <w:rsid w:val="009000EB"/>
    <w:rsid w:val="00900834"/>
    <w:rsid w:val="00900F2C"/>
    <w:rsid w:val="009032D1"/>
    <w:rsid w:val="00903EED"/>
    <w:rsid w:val="00910CC3"/>
    <w:rsid w:val="00910F9E"/>
    <w:rsid w:val="00921B18"/>
    <w:rsid w:val="00923F8B"/>
    <w:rsid w:val="00927BB9"/>
    <w:rsid w:val="009323E3"/>
    <w:rsid w:val="0093343B"/>
    <w:rsid w:val="00933881"/>
    <w:rsid w:val="00937B10"/>
    <w:rsid w:val="009406DB"/>
    <w:rsid w:val="00940E24"/>
    <w:rsid w:val="00943CF2"/>
    <w:rsid w:val="0094446D"/>
    <w:rsid w:val="009453E8"/>
    <w:rsid w:val="00945641"/>
    <w:rsid w:val="00945ED3"/>
    <w:rsid w:val="00946602"/>
    <w:rsid w:val="00946A44"/>
    <w:rsid w:val="009501C2"/>
    <w:rsid w:val="0095094D"/>
    <w:rsid w:val="00951036"/>
    <w:rsid w:val="009578EA"/>
    <w:rsid w:val="00957DEB"/>
    <w:rsid w:val="0096122D"/>
    <w:rsid w:val="00961A4E"/>
    <w:rsid w:val="0096618E"/>
    <w:rsid w:val="00967E0D"/>
    <w:rsid w:val="0097111A"/>
    <w:rsid w:val="009737AC"/>
    <w:rsid w:val="00976917"/>
    <w:rsid w:val="00977A5D"/>
    <w:rsid w:val="00985B09"/>
    <w:rsid w:val="00986F6B"/>
    <w:rsid w:val="009925E6"/>
    <w:rsid w:val="00996A20"/>
    <w:rsid w:val="009A1589"/>
    <w:rsid w:val="009A1794"/>
    <w:rsid w:val="009A46FB"/>
    <w:rsid w:val="009A5B94"/>
    <w:rsid w:val="009A7AAA"/>
    <w:rsid w:val="009B355D"/>
    <w:rsid w:val="009B3991"/>
    <w:rsid w:val="009B5B10"/>
    <w:rsid w:val="009B6420"/>
    <w:rsid w:val="009C2125"/>
    <w:rsid w:val="009C684C"/>
    <w:rsid w:val="009D28BF"/>
    <w:rsid w:val="009D6D40"/>
    <w:rsid w:val="009E295C"/>
    <w:rsid w:val="009E41A1"/>
    <w:rsid w:val="009F19A4"/>
    <w:rsid w:val="009F31EE"/>
    <w:rsid w:val="00A04F7B"/>
    <w:rsid w:val="00A12295"/>
    <w:rsid w:val="00A148EC"/>
    <w:rsid w:val="00A225C3"/>
    <w:rsid w:val="00A22ED6"/>
    <w:rsid w:val="00A22EE2"/>
    <w:rsid w:val="00A2703D"/>
    <w:rsid w:val="00A31976"/>
    <w:rsid w:val="00A354D5"/>
    <w:rsid w:val="00A35C14"/>
    <w:rsid w:val="00A367E3"/>
    <w:rsid w:val="00A429B4"/>
    <w:rsid w:val="00A432BE"/>
    <w:rsid w:val="00A43CDF"/>
    <w:rsid w:val="00A45231"/>
    <w:rsid w:val="00A45305"/>
    <w:rsid w:val="00A45320"/>
    <w:rsid w:val="00A45884"/>
    <w:rsid w:val="00A475E3"/>
    <w:rsid w:val="00A47D4E"/>
    <w:rsid w:val="00A47F18"/>
    <w:rsid w:val="00A547F1"/>
    <w:rsid w:val="00A55079"/>
    <w:rsid w:val="00A61905"/>
    <w:rsid w:val="00A61F67"/>
    <w:rsid w:val="00A62FCB"/>
    <w:rsid w:val="00A643FD"/>
    <w:rsid w:val="00A65430"/>
    <w:rsid w:val="00A67582"/>
    <w:rsid w:val="00A71026"/>
    <w:rsid w:val="00A75FBE"/>
    <w:rsid w:val="00A77FF8"/>
    <w:rsid w:val="00A81E7B"/>
    <w:rsid w:val="00A85081"/>
    <w:rsid w:val="00A878EE"/>
    <w:rsid w:val="00A92BB7"/>
    <w:rsid w:val="00A957C3"/>
    <w:rsid w:val="00A96B3B"/>
    <w:rsid w:val="00A97374"/>
    <w:rsid w:val="00AA49F3"/>
    <w:rsid w:val="00AA58E8"/>
    <w:rsid w:val="00AA5AAC"/>
    <w:rsid w:val="00AB3165"/>
    <w:rsid w:val="00AC343E"/>
    <w:rsid w:val="00AC6C83"/>
    <w:rsid w:val="00AD1472"/>
    <w:rsid w:val="00AD2AD9"/>
    <w:rsid w:val="00AD3C51"/>
    <w:rsid w:val="00AD3FFE"/>
    <w:rsid w:val="00AD54D7"/>
    <w:rsid w:val="00AD713D"/>
    <w:rsid w:val="00AE1278"/>
    <w:rsid w:val="00AE65E2"/>
    <w:rsid w:val="00AE664E"/>
    <w:rsid w:val="00AF0A7B"/>
    <w:rsid w:val="00AF57D1"/>
    <w:rsid w:val="00AF582B"/>
    <w:rsid w:val="00B02C3B"/>
    <w:rsid w:val="00B03631"/>
    <w:rsid w:val="00B11B12"/>
    <w:rsid w:val="00B1385C"/>
    <w:rsid w:val="00B17003"/>
    <w:rsid w:val="00B17E54"/>
    <w:rsid w:val="00B25A0A"/>
    <w:rsid w:val="00B30C81"/>
    <w:rsid w:val="00B30D97"/>
    <w:rsid w:val="00B3245A"/>
    <w:rsid w:val="00B3280E"/>
    <w:rsid w:val="00B32A99"/>
    <w:rsid w:val="00B3398B"/>
    <w:rsid w:val="00B3720B"/>
    <w:rsid w:val="00B4265A"/>
    <w:rsid w:val="00B56E1D"/>
    <w:rsid w:val="00B60B9A"/>
    <w:rsid w:val="00B61704"/>
    <w:rsid w:val="00B6211E"/>
    <w:rsid w:val="00B6589F"/>
    <w:rsid w:val="00B72D97"/>
    <w:rsid w:val="00B734DC"/>
    <w:rsid w:val="00B737EF"/>
    <w:rsid w:val="00B740FA"/>
    <w:rsid w:val="00B750B5"/>
    <w:rsid w:val="00B8069C"/>
    <w:rsid w:val="00B80789"/>
    <w:rsid w:val="00B82035"/>
    <w:rsid w:val="00B83D2F"/>
    <w:rsid w:val="00B86CA3"/>
    <w:rsid w:val="00B91D1D"/>
    <w:rsid w:val="00B93C44"/>
    <w:rsid w:val="00B95292"/>
    <w:rsid w:val="00B95470"/>
    <w:rsid w:val="00B956D6"/>
    <w:rsid w:val="00B96206"/>
    <w:rsid w:val="00BA042A"/>
    <w:rsid w:val="00BA4E78"/>
    <w:rsid w:val="00BA6DBA"/>
    <w:rsid w:val="00BB4319"/>
    <w:rsid w:val="00BC1970"/>
    <w:rsid w:val="00BC2923"/>
    <w:rsid w:val="00BC365E"/>
    <w:rsid w:val="00BC479C"/>
    <w:rsid w:val="00BC4A72"/>
    <w:rsid w:val="00BC585C"/>
    <w:rsid w:val="00BC6201"/>
    <w:rsid w:val="00BC7501"/>
    <w:rsid w:val="00BD0D8C"/>
    <w:rsid w:val="00BD3866"/>
    <w:rsid w:val="00BD4267"/>
    <w:rsid w:val="00BD4C4C"/>
    <w:rsid w:val="00BD51FB"/>
    <w:rsid w:val="00BD7C84"/>
    <w:rsid w:val="00BE042B"/>
    <w:rsid w:val="00BE2B1A"/>
    <w:rsid w:val="00BE2FEC"/>
    <w:rsid w:val="00BE4A89"/>
    <w:rsid w:val="00BE4D3B"/>
    <w:rsid w:val="00BE5CC0"/>
    <w:rsid w:val="00BE6F89"/>
    <w:rsid w:val="00BF5119"/>
    <w:rsid w:val="00BF6F80"/>
    <w:rsid w:val="00BF736B"/>
    <w:rsid w:val="00C00D2B"/>
    <w:rsid w:val="00C00E72"/>
    <w:rsid w:val="00C06639"/>
    <w:rsid w:val="00C069A4"/>
    <w:rsid w:val="00C11995"/>
    <w:rsid w:val="00C176AE"/>
    <w:rsid w:val="00C2062B"/>
    <w:rsid w:val="00C20BB9"/>
    <w:rsid w:val="00C251A7"/>
    <w:rsid w:val="00C27AF8"/>
    <w:rsid w:val="00C34271"/>
    <w:rsid w:val="00C35350"/>
    <w:rsid w:val="00C35C41"/>
    <w:rsid w:val="00C4081D"/>
    <w:rsid w:val="00C43EA0"/>
    <w:rsid w:val="00C50117"/>
    <w:rsid w:val="00C50B03"/>
    <w:rsid w:val="00C512E3"/>
    <w:rsid w:val="00C51977"/>
    <w:rsid w:val="00C51D0B"/>
    <w:rsid w:val="00C554B8"/>
    <w:rsid w:val="00C577DA"/>
    <w:rsid w:val="00C60B01"/>
    <w:rsid w:val="00C615E5"/>
    <w:rsid w:val="00C61E11"/>
    <w:rsid w:val="00C65155"/>
    <w:rsid w:val="00C709D1"/>
    <w:rsid w:val="00C71592"/>
    <w:rsid w:val="00C75BE7"/>
    <w:rsid w:val="00C76279"/>
    <w:rsid w:val="00C77603"/>
    <w:rsid w:val="00C77B14"/>
    <w:rsid w:val="00C82D35"/>
    <w:rsid w:val="00C83AB0"/>
    <w:rsid w:val="00C84C40"/>
    <w:rsid w:val="00C85B9A"/>
    <w:rsid w:val="00C8708A"/>
    <w:rsid w:val="00C916BF"/>
    <w:rsid w:val="00C93EA5"/>
    <w:rsid w:val="00C9459D"/>
    <w:rsid w:val="00CA394E"/>
    <w:rsid w:val="00CA7822"/>
    <w:rsid w:val="00CB0291"/>
    <w:rsid w:val="00CC0D8E"/>
    <w:rsid w:val="00CC0EEA"/>
    <w:rsid w:val="00CC7771"/>
    <w:rsid w:val="00CD0A3C"/>
    <w:rsid w:val="00CD36F8"/>
    <w:rsid w:val="00CD3DD1"/>
    <w:rsid w:val="00CD4F98"/>
    <w:rsid w:val="00CD5036"/>
    <w:rsid w:val="00CD5BC1"/>
    <w:rsid w:val="00CD7AEC"/>
    <w:rsid w:val="00CE2A4A"/>
    <w:rsid w:val="00CE3566"/>
    <w:rsid w:val="00CF0ADA"/>
    <w:rsid w:val="00CF24BF"/>
    <w:rsid w:val="00CF3703"/>
    <w:rsid w:val="00CF4CEF"/>
    <w:rsid w:val="00CF5F7E"/>
    <w:rsid w:val="00CF6D0A"/>
    <w:rsid w:val="00D007E0"/>
    <w:rsid w:val="00D0310F"/>
    <w:rsid w:val="00D07A45"/>
    <w:rsid w:val="00D10ADA"/>
    <w:rsid w:val="00D1534E"/>
    <w:rsid w:val="00D15A09"/>
    <w:rsid w:val="00D15D48"/>
    <w:rsid w:val="00D212D9"/>
    <w:rsid w:val="00D21BF0"/>
    <w:rsid w:val="00D25501"/>
    <w:rsid w:val="00D25A08"/>
    <w:rsid w:val="00D25C91"/>
    <w:rsid w:val="00D334F8"/>
    <w:rsid w:val="00D33B79"/>
    <w:rsid w:val="00D33EB3"/>
    <w:rsid w:val="00D3506C"/>
    <w:rsid w:val="00D3617F"/>
    <w:rsid w:val="00D36442"/>
    <w:rsid w:val="00D378C9"/>
    <w:rsid w:val="00D42595"/>
    <w:rsid w:val="00D51F0F"/>
    <w:rsid w:val="00D53599"/>
    <w:rsid w:val="00D60947"/>
    <w:rsid w:val="00D6099A"/>
    <w:rsid w:val="00D60AA2"/>
    <w:rsid w:val="00D656A8"/>
    <w:rsid w:val="00D66D4E"/>
    <w:rsid w:val="00D722F4"/>
    <w:rsid w:val="00D72D9D"/>
    <w:rsid w:val="00D743EC"/>
    <w:rsid w:val="00D745DD"/>
    <w:rsid w:val="00D746DA"/>
    <w:rsid w:val="00D90070"/>
    <w:rsid w:val="00D90C62"/>
    <w:rsid w:val="00D91997"/>
    <w:rsid w:val="00D91D28"/>
    <w:rsid w:val="00D92FB3"/>
    <w:rsid w:val="00D94AF1"/>
    <w:rsid w:val="00D95BB4"/>
    <w:rsid w:val="00D95F59"/>
    <w:rsid w:val="00DA0D8C"/>
    <w:rsid w:val="00DA4E06"/>
    <w:rsid w:val="00DA6DC0"/>
    <w:rsid w:val="00DB1221"/>
    <w:rsid w:val="00DB1809"/>
    <w:rsid w:val="00DB1C73"/>
    <w:rsid w:val="00DB3C30"/>
    <w:rsid w:val="00DB64B5"/>
    <w:rsid w:val="00DC2155"/>
    <w:rsid w:val="00DC39EB"/>
    <w:rsid w:val="00DC4B30"/>
    <w:rsid w:val="00DC4F5B"/>
    <w:rsid w:val="00DC56B5"/>
    <w:rsid w:val="00DD0097"/>
    <w:rsid w:val="00DD084B"/>
    <w:rsid w:val="00DD0AF3"/>
    <w:rsid w:val="00DD30D0"/>
    <w:rsid w:val="00DD3DE5"/>
    <w:rsid w:val="00DD3DF7"/>
    <w:rsid w:val="00DD7799"/>
    <w:rsid w:val="00DF387B"/>
    <w:rsid w:val="00DF5FCD"/>
    <w:rsid w:val="00DF655A"/>
    <w:rsid w:val="00DF77FB"/>
    <w:rsid w:val="00E00049"/>
    <w:rsid w:val="00E00723"/>
    <w:rsid w:val="00E00FAD"/>
    <w:rsid w:val="00E06C66"/>
    <w:rsid w:val="00E1793E"/>
    <w:rsid w:val="00E24E9C"/>
    <w:rsid w:val="00E275B6"/>
    <w:rsid w:val="00E315D8"/>
    <w:rsid w:val="00E33292"/>
    <w:rsid w:val="00E35384"/>
    <w:rsid w:val="00E361CF"/>
    <w:rsid w:val="00E367CC"/>
    <w:rsid w:val="00E40AC4"/>
    <w:rsid w:val="00E43F02"/>
    <w:rsid w:val="00E47AB8"/>
    <w:rsid w:val="00E5318A"/>
    <w:rsid w:val="00E558D1"/>
    <w:rsid w:val="00E60D99"/>
    <w:rsid w:val="00E60F76"/>
    <w:rsid w:val="00E623C7"/>
    <w:rsid w:val="00E64550"/>
    <w:rsid w:val="00E66444"/>
    <w:rsid w:val="00E72FBB"/>
    <w:rsid w:val="00E77562"/>
    <w:rsid w:val="00E8137B"/>
    <w:rsid w:val="00E82E37"/>
    <w:rsid w:val="00E87000"/>
    <w:rsid w:val="00E92478"/>
    <w:rsid w:val="00E92D73"/>
    <w:rsid w:val="00E94AF7"/>
    <w:rsid w:val="00E971DA"/>
    <w:rsid w:val="00E97366"/>
    <w:rsid w:val="00EA117F"/>
    <w:rsid w:val="00EA273A"/>
    <w:rsid w:val="00EA32EF"/>
    <w:rsid w:val="00EA5FEB"/>
    <w:rsid w:val="00EA7B51"/>
    <w:rsid w:val="00EA7F36"/>
    <w:rsid w:val="00EB59D4"/>
    <w:rsid w:val="00EC01B7"/>
    <w:rsid w:val="00ED0C4F"/>
    <w:rsid w:val="00ED46F5"/>
    <w:rsid w:val="00ED6A99"/>
    <w:rsid w:val="00EE16E8"/>
    <w:rsid w:val="00EE1F4F"/>
    <w:rsid w:val="00EE3388"/>
    <w:rsid w:val="00EE5199"/>
    <w:rsid w:val="00EE6522"/>
    <w:rsid w:val="00EE7B78"/>
    <w:rsid w:val="00EF47FB"/>
    <w:rsid w:val="00EF5286"/>
    <w:rsid w:val="00EF5F4A"/>
    <w:rsid w:val="00F0004A"/>
    <w:rsid w:val="00F02788"/>
    <w:rsid w:val="00F02DC5"/>
    <w:rsid w:val="00F07793"/>
    <w:rsid w:val="00F12370"/>
    <w:rsid w:val="00F13810"/>
    <w:rsid w:val="00F157E9"/>
    <w:rsid w:val="00F162C3"/>
    <w:rsid w:val="00F16F57"/>
    <w:rsid w:val="00F21925"/>
    <w:rsid w:val="00F24E77"/>
    <w:rsid w:val="00F25D17"/>
    <w:rsid w:val="00F30A89"/>
    <w:rsid w:val="00F31176"/>
    <w:rsid w:val="00F36E52"/>
    <w:rsid w:val="00F4116F"/>
    <w:rsid w:val="00F44253"/>
    <w:rsid w:val="00F446A1"/>
    <w:rsid w:val="00F51112"/>
    <w:rsid w:val="00F52762"/>
    <w:rsid w:val="00F52884"/>
    <w:rsid w:val="00F55B65"/>
    <w:rsid w:val="00F65DBC"/>
    <w:rsid w:val="00F66FBB"/>
    <w:rsid w:val="00F67881"/>
    <w:rsid w:val="00F726FD"/>
    <w:rsid w:val="00F73A75"/>
    <w:rsid w:val="00F74E1A"/>
    <w:rsid w:val="00F75406"/>
    <w:rsid w:val="00F75659"/>
    <w:rsid w:val="00F7617B"/>
    <w:rsid w:val="00F77887"/>
    <w:rsid w:val="00F820BC"/>
    <w:rsid w:val="00F861F5"/>
    <w:rsid w:val="00F90DAB"/>
    <w:rsid w:val="00F92F52"/>
    <w:rsid w:val="00FA05A7"/>
    <w:rsid w:val="00FA2F36"/>
    <w:rsid w:val="00FA546D"/>
    <w:rsid w:val="00FB4815"/>
    <w:rsid w:val="00FC0C51"/>
    <w:rsid w:val="00FD429A"/>
    <w:rsid w:val="00FD72C6"/>
    <w:rsid w:val="00FD78E9"/>
    <w:rsid w:val="00FE3F8F"/>
    <w:rsid w:val="00FF071E"/>
    <w:rsid w:val="00FF5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51"/>
  </w:style>
  <w:style w:type="paragraph" w:styleId="Heading1">
    <w:name w:val="heading 1"/>
    <w:basedOn w:val="Normal"/>
    <w:next w:val="Normal"/>
    <w:link w:val="Heading1Char"/>
    <w:uiPriority w:val="9"/>
    <w:qFormat/>
    <w:rsid w:val="006C24BC"/>
    <w:pPr>
      <w:keepNext/>
      <w:keepLines/>
      <w:spacing w:before="480" w:after="240"/>
      <w:outlineLvl w:val="0"/>
    </w:pPr>
    <w:rPr>
      <w:rFonts w:ascii="Arial" w:eastAsiaTheme="majorEastAsia" w:hAnsi="Arial" w:cstheme="majorBidi"/>
      <w:b/>
      <w:color w:val="2F5496" w:themeColor="accent1" w:themeShade="BF"/>
      <w:sz w:val="44"/>
      <w:szCs w:val="32"/>
    </w:rPr>
  </w:style>
  <w:style w:type="paragraph" w:styleId="Heading2">
    <w:name w:val="heading 2"/>
    <w:basedOn w:val="Normal"/>
    <w:link w:val="Heading2Char"/>
    <w:uiPriority w:val="9"/>
    <w:qFormat/>
    <w:rsid w:val="006C24BC"/>
    <w:pPr>
      <w:spacing w:before="100" w:beforeAutospacing="1" w:after="100" w:afterAutospacing="1" w:line="240" w:lineRule="auto"/>
      <w:outlineLvl w:val="1"/>
    </w:pPr>
    <w:rPr>
      <w:rFonts w:ascii="Arial" w:eastAsia="Times New Roman" w:hAnsi="Arial" w:cs="Times New Roman"/>
      <w:b/>
      <w:bCs/>
      <w:color w:val="008080"/>
      <w:sz w:val="32"/>
      <w:szCs w:val="36"/>
      <w:lang w:eastAsia="en-AU"/>
    </w:rPr>
  </w:style>
  <w:style w:type="paragraph" w:styleId="Heading3">
    <w:name w:val="heading 3"/>
    <w:basedOn w:val="Normal"/>
    <w:link w:val="Heading3Char"/>
    <w:uiPriority w:val="9"/>
    <w:qFormat/>
    <w:rsid w:val="006C24BC"/>
    <w:pPr>
      <w:spacing w:before="100" w:beforeAutospacing="1" w:after="100" w:afterAutospacing="1" w:line="240" w:lineRule="auto"/>
      <w:outlineLvl w:val="2"/>
    </w:pPr>
    <w:rPr>
      <w:rFonts w:ascii="Arial" w:eastAsia="Times New Roman" w:hAnsi="Arial" w:cs="Times New Roman"/>
      <w:b/>
      <w:bCs/>
      <w:i/>
      <w:color w:val="008080"/>
      <w:sz w:val="24"/>
      <w:szCs w:val="27"/>
      <w:lang w:eastAsia="en-AU"/>
    </w:rPr>
  </w:style>
  <w:style w:type="paragraph" w:styleId="Heading4">
    <w:name w:val="heading 4"/>
    <w:basedOn w:val="Normal"/>
    <w:next w:val="Normal"/>
    <w:link w:val="Heading4Char"/>
    <w:uiPriority w:val="9"/>
    <w:unhideWhenUsed/>
    <w:qFormat/>
    <w:rsid w:val="00E35384"/>
    <w:pPr>
      <w:keepNext/>
      <w:keepLines/>
      <w:spacing w:before="120" w:after="12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5202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51"/>
  </w:style>
  <w:style w:type="paragraph" w:styleId="Footer">
    <w:name w:val="footer"/>
    <w:basedOn w:val="Normal"/>
    <w:link w:val="FooterChar"/>
    <w:uiPriority w:val="99"/>
    <w:unhideWhenUsed/>
    <w:rsid w:val="002E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51"/>
  </w:style>
  <w:style w:type="table" w:styleId="TableGrid">
    <w:name w:val="Table Grid"/>
    <w:basedOn w:val="TableNormal"/>
    <w:uiPriority w:val="39"/>
    <w:rsid w:val="002E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7F1"/>
    <w:rPr>
      <w:color w:val="0563C1" w:themeColor="hyperlink"/>
      <w:u w:val="single"/>
    </w:rPr>
  </w:style>
  <w:style w:type="character" w:styleId="UnresolvedMention">
    <w:name w:val="Unresolved Mention"/>
    <w:basedOn w:val="DefaultParagraphFont"/>
    <w:uiPriority w:val="99"/>
    <w:semiHidden/>
    <w:unhideWhenUsed/>
    <w:rsid w:val="00A547F1"/>
    <w:rPr>
      <w:color w:val="605E5C"/>
      <w:shd w:val="clear" w:color="auto" w:fill="E1DFDD"/>
    </w:rPr>
  </w:style>
  <w:style w:type="character" w:styleId="CommentReference">
    <w:name w:val="annotation reference"/>
    <w:basedOn w:val="DefaultParagraphFont"/>
    <w:uiPriority w:val="99"/>
    <w:semiHidden/>
    <w:unhideWhenUsed/>
    <w:rsid w:val="00774D2A"/>
    <w:rPr>
      <w:sz w:val="16"/>
      <w:szCs w:val="16"/>
    </w:rPr>
  </w:style>
  <w:style w:type="paragraph" w:styleId="CommentText">
    <w:name w:val="annotation text"/>
    <w:basedOn w:val="Normal"/>
    <w:link w:val="CommentTextChar"/>
    <w:uiPriority w:val="99"/>
    <w:unhideWhenUsed/>
    <w:rsid w:val="00774D2A"/>
    <w:pPr>
      <w:spacing w:line="240" w:lineRule="auto"/>
    </w:pPr>
    <w:rPr>
      <w:sz w:val="20"/>
      <w:szCs w:val="20"/>
    </w:rPr>
  </w:style>
  <w:style w:type="character" w:customStyle="1" w:styleId="CommentTextChar">
    <w:name w:val="Comment Text Char"/>
    <w:basedOn w:val="DefaultParagraphFont"/>
    <w:link w:val="CommentText"/>
    <w:uiPriority w:val="99"/>
    <w:rsid w:val="00774D2A"/>
    <w:rPr>
      <w:sz w:val="20"/>
      <w:szCs w:val="20"/>
    </w:rPr>
  </w:style>
  <w:style w:type="paragraph" w:styleId="CommentSubject">
    <w:name w:val="annotation subject"/>
    <w:basedOn w:val="CommentText"/>
    <w:next w:val="CommentText"/>
    <w:link w:val="CommentSubjectChar"/>
    <w:uiPriority w:val="99"/>
    <w:semiHidden/>
    <w:unhideWhenUsed/>
    <w:rsid w:val="00774D2A"/>
    <w:rPr>
      <w:b/>
      <w:bCs/>
    </w:rPr>
  </w:style>
  <w:style w:type="character" w:customStyle="1" w:styleId="CommentSubjectChar">
    <w:name w:val="Comment Subject Char"/>
    <w:basedOn w:val="CommentTextChar"/>
    <w:link w:val="CommentSubject"/>
    <w:uiPriority w:val="99"/>
    <w:semiHidden/>
    <w:rsid w:val="00774D2A"/>
    <w:rPr>
      <w:b/>
      <w:bCs/>
      <w:sz w:val="20"/>
      <w:szCs w:val="20"/>
    </w:rPr>
  </w:style>
  <w:style w:type="paragraph" w:styleId="Revision">
    <w:name w:val="Revision"/>
    <w:hidden/>
    <w:uiPriority w:val="99"/>
    <w:semiHidden/>
    <w:rsid w:val="00BE2FEC"/>
    <w:pPr>
      <w:spacing w:after="0" w:line="240" w:lineRule="auto"/>
    </w:pPr>
  </w:style>
  <w:style w:type="paragraph" w:styleId="ListParagraph">
    <w:name w:val="List Paragraph"/>
    <w:basedOn w:val="Normal"/>
    <w:uiPriority w:val="34"/>
    <w:qFormat/>
    <w:rsid w:val="006E3AB6"/>
    <w:pPr>
      <w:ind w:left="720"/>
      <w:contextualSpacing/>
    </w:pPr>
  </w:style>
  <w:style w:type="character" w:customStyle="1" w:styleId="Heading2Char">
    <w:name w:val="Heading 2 Char"/>
    <w:basedOn w:val="DefaultParagraphFont"/>
    <w:link w:val="Heading2"/>
    <w:uiPriority w:val="9"/>
    <w:rsid w:val="006C24BC"/>
    <w:rPr>
      <w:rFonts w:ascii="Arial" w:eastAsia="Times New Roman" w:hAnsi="Arial" w:cs="Times New Roman"/>
      <w:b/>
      <w:bCs/>
      <w:color w:val="008080"/>
      <w:sz w:val="32"/>
      <w:szCs w:val="36"/>
      <w:lang w:eastAsia="en-AU"/>
    </w:rPr>
  </w:style>
  <w:style w:type="character" w:customStyle="1" w:styleId="Heading3Char">
    <w:name w:val="Heading 3 Char"/>
    <w:basedOn w:val="DefaultParagraphFont"/>
    <w:link w:val="Heading3"/>
    <w:uiPriority w:val="9"/>
    <w:rsid w:val="006C24BC"/>
    <w:rPr>
      <w:rFonts w:ascii="Arial" w:eastAsia="Times New Roman" w:hAnsi="Arial" w:cs="Times New Roman"/>
      <w:b/>
      <w:bCs/>
      <w:i/>
      <w:color w:val="008080"/>
      <w:sz w:val="24"/>
      <w:szCs w:val="27"/>
      <w:lang w:eastAsia="en-AU"/>
    </w:rPr>
  </w:style>
  <w:style w:type="paragraph" w:styleId="BodyText">
    <w:name w:val="Body Text"/>
    <w:basedOn w:val="Normal"/>
    <w:link w:val="BodyTextChar"/>
    <w:uiPriority w:val="99"/>
    <w:unhideWhenUsed/>
    <w:rsid w:val="007A0B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7A0BAD"/>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A0BAD"/>
    <w:rPr>
      <w:i/>
      <w:iCs/>
    </w:rPr>
  </w:style>
  <w:style w:type="paragraph" w:styleId="NormalWeb">
    <w:name w:val="Normal (Web)"/>
    <w:basedOn w:val="Normal"/>
    <w:uiPriority w:val="99"/>
    <w:semiHidden/>
    <w:unhideWhenUsed/>
    <w:rsid w:val="001973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E9736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97366"/>
    <w:rPr>
      <w:rFonts w:ascii="Segoe UI" w:hAnsi="Segoe UI" w:cs="Segoe UI" w:hint="default"/>
      <w:b/>
      <w:bCs/>
      <w:sz w:val="18"/>
      <w:szCs w:val="18"/>
    </w:rPr>
  </w:style>
  <w:style w:type="character" w:customStyle="1" w:styleId="Heading5Char">
    <w:name w:val="Heading 5 Char"/>
    <w:basedOn w:val="DefaultParagraphFont"/>
    <w:link w:val="Heading5"/>
    <w:uiPriority w:val="9"/>
    <w:semiHidden/>
    <w:rsid w:val="005202C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6C24BC"/>
    <w:rPr>
      <w:rFonts w:ascii="Arial" w:eastAsiaTheme="majorEastAsia" w:hAnsi="Arial" w:cstheme="majorBidi"/>
      <w:b/>
      <w:color w:val="2F5496" w:themeColor="accent1" w:themeShade="BF"/>
      <w:sz w:val="44"/>
      <w:szCs w:val="32"/>
    </w:rPr>
  </w:style>
  <w:style w:type="character" w:styleId="EndnoteReference">
    <w:name w:val="endnote reference"/>
    <w:basedOn w:val="DefaultParagraphFont"/>
    <w:uiPriority w:val="99"/>
    <w:semiHidden/>
    <w:unhideWhenUsed/>
    <w:rsid w:val="00FD72C6"/>
    <w:rPr>
      <w:vertAlign w:val="superscript"/>
    </w:rPr>
  </w:style>
  <w:style w:type="character" w:customStyle="1" w:styleId="Heading4Char">
    <w:name w:val="Heading 4 Char"/>
    <w:basedOn w:val="DefaultParagraphFont"/>
    <w:link w:val="Heading4"/>
    <w:uiPriority w:val="9"/>
    <w:rsid w:val="00E35384"/>
    <w:rPr>
      <w:rFonts w:ascii="Arial" w:eastAsiaTheme="majorEastAsia" w:hAnsi="Arial"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34">
      <w:bodyDiv w:val="1"/>
      <w:marLeft w:val="0"/>
      <w:marRight w:val="0"/>
      <w:marTop w:val="0"/>
      <w:marBottom w:val="0"/>
      <w:divBdr>
        <w:top w:val="none" w:sz="0" w:space="0" w:color="auto"/>
        <w:left w:val="none" w:sz="0" w:space="0" w:color="auto"/>
        <w:bottom w:val="none" w:sz="0" w:space="0" w:color="auto"/>
        <w:right w:val="none" w:sz="0" w:space="0" w:color="auto"/>
      </w:divBdr>
    </w:div>
    <w:div w:id="91433767">
      <w:bodyDiv w:val="1"/>
      <w:marLeft w:val="0"/>
      <w:marRight w:val="0"/>
      <w:marTop w:val="0"/>
      <w:marBottom w:val="0"/>
      <w:divBdr>
        <w:top w:val="none" w:sz="0" w:space="0" w:color="auto"/>
        <w:left w:val="none" w:sz="0" w:space="0" w:color="auto"/>
        <w:bottom w:val="none" w:sz="0" w:space="0" w:color="auto"/>
        <w:right w:val="none" w:sz="0" w:space="0" w:color="auto"/>
      </w:divBdr>
    </w:div>
    <w:div w:id="587036464">
      <w:bodyDiv w:val="1"/>
      <w:marLeft w:val="0"/>
      <w:marRight w:val="0"/>
      <w:marTop w:val="0"/>
      <w:marBottom w:val="0"/>
      <w:divBdr>
        <w:top w:val="none" w:sz="0" w:space="0" w:color="auto"/>
        <w:left w:val="none" w:sz="0" w:space="0" w:color="auto"/>
        <w:bottom w:val="none" w:sz="0" w:space="0" w:color="auto"/>
        <w:right w:val="none" w:sz="0" w:space="0" w:color="auto"/>
      </w:divBdr>
    </w:div>
    <w:div w:id="650643896">
      <w:bodyDiv w:val="1"/>
      <w:marLeft w:val="0"/>
      <w:marRight w:val="0"/>
      <w:marTop w:val="0"/>
      <w:marBottom w:val="0"/>
      <w:divBdr>
        <w:top w:val="none" w:sz="0" w:space="0" w:color="auto"/>
        <w:left w:val="none" w:sz="0" w:space="0" w:color="auto"/>
        <w:bottom w:val="none" w:sz="0" w:space="0" w:color="auto"/>
        <w:right w:val="none" w:sz="0" w:space="0" w:color="auto"/>
      </w:divBdr>
    </w:div>
    <w:div w:id="660082491">
      <w:bodyDiv w:val="1"/>
      <w:marLeft w:val="0"/>
      <w:marRight w:val="0"/>
      <w:marTop w:val="0"/>
      <w:marBottom w:val="0"/>
      <w:divBdr>
        <w:top w:val="none" w:sz="0" w:space="0" w:color="auto"/>
        <w:left w:val="none" w:sz="0" w:space="0" w:color="auto"/>
        <w:bottom w:val="none" w:sz="0" w:space="0" w:color="auto"/>
        <w:right w:val="none" w:sz="0" w:space="0" w:color="auto"/>
      </w:divBdr>
    </w:div>
    <w:div w:id="687831728">
      <w:bodyDiv w:val="1"/>
      <w:marLeft w:val="0"/>
      <w:marRight w:val="0"/>
      <w:marTop w:val="0"/>
      <w:marBottom w:val="0"/>
      <w:divBdr>
        <w:top w:val="none" w:sz="0" w:space="0" w:color="auto"/>
        <w:left w:val="none" w:sz="0" w:space="0" w:color="auto"/>
        <w:bottom w:val="none" w:sz="0" w:space="0" w:color="auto"/>
        <w:right w:val="none" w:sz="0" w:space="0" w:color="auto"/>
      </w:divBdr>
    </w:div>
    <w:div w:id="706757920">
      <w:bodyDiv w:val="1"/>
      <w:marLeft w:val="0"/>
      <w:marRight w:val="0"/>
      <w:marTop w:val="0"/>
      <w:marBottom w:val="0"/>
      <w:divBdr>
        <w:top w:val="none" w:sz="0" w:space="0" w:color="auto"/>
        <w:left w:val="none" w:sz="0" w:space="0" w:color="auto"/>
        <w:bottom w:val="none" w:sz="0" w:space="0" w:color="auto"/>
        <w:right w:val="none" w:sz="0" w:space="0" w:color="auto"/>
      </w:divBdr>
    </w:div>
    <w:div w:id="741760185">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sChild>
        <w:div w:id="1088845461">
          <w:marLeft w:val="547"/>
          <w:marRight w:val="0"/>
          <w:marTop w:val="0"/>
          <w:marBottom w:val="0"/>
          <w:divBdr>
            <w:top w:val="none" w:sz="0" w:space="0" w:color="auto"/>
            <w:left w:val="none" w:sz="0" w:space="0" w:color="auto"/>
            <w:bottom w:val="none" w:sz="0" w:space="0" w:color="auto"/>
            <w:right w:val="none" w:sz="0" w:space="0" w:color="auto"/>
          </w:divBdr>
        </w:div>
        <w:div w:id="444427486">
          <w:marLeft w:val="1267"/>
          <w:marRight w:val="0"/>
          <w:marTop w:val="0"/>
          <w:marBottom w:val="0"/>
          <w:divBdr>
            <w:top w:val="none" w:sz="0" w:space="0" w:color="auto"/>
            <w:left w:val="none" w:sz="0" w:space="0" w:color="auto"/>
            <w:bottom w:val="none" w:sz="0" w:space="0" w:color="auto"/>
            <w:right w:val="none" w:sz="0" w:space="0" w:color="auto"/>
          </w:divBdr>
        </w:div>
        <w:div w:id="1722246116">
          <w:marLeft w:val="1267"/>
          <w:marRight w:val="0"/>
          <w:marTop w:val="0"/>
          <w:marBottom w:val="0"/>
          <w:divBdr>
            <w:top w:val="none" w:sz="0" w:space="0" w:color="auto"/>
            <w:left w:val="none" w:sz="0" w:space="0" w:color="auto"/>
            <w:bottom w:val="none" w:sz="0" w:space="0" w:color="auto"/>
            <w:right w:val="none" w:sz="0" w:space="0" w:color="auto"/>
          </w:divBdr>
        </w:div>
        <w:div w:id="1437209505">
          <w:marLeft w:val="1267"/>
          <w:marRight w:val="0"/>
          <w:marTop w:val="0"/>
          <w:marBottom w:val="0"/>
          <w:divBdr>
            <w:top w:val="none" w:sz="0" w:space="0" w:color="auto"/>
            <w:left w:val="none" w:sz="0" w:space="0" w:color="auto"/>
            <w:bottom w:val="none" w:sz="0" w:space="0" w:color="auto"/>
            <w:right w:val="none" w:sz="0" w:space="0" w:color="auto"/>
          </w:divBdr>
        </w:div>
        <w:div w:id="1040277445">
          <w:marLeft w:val="1267"/>
          <w:marRight w:val="0"/>
          <w:marTop w:val="0"/>
          <w:marBottom w:val="0"/>
          <w:divBdr>
            <w:top w:val="none" w:sz="0" w:space="0" w:color="auto"/>
            <w:left w:val="none" w:sz="0" w:space="0" w:color="auto"/>
            <w:bottom w:val="none" w:sz="0" w:space="0" w:color="auto"/>
            <w:right w:val="none" w:sz="0" w:space="0" w:color="auto"/>
          </w:divBdr>
        </w:div>
      </w:divsChild>
    </w:div>
    <w:div w:id="903640735">
      <w:bodyDiv w:val="1"/>
      <w:marLeft w:val="0"/>
      <w:marRight w:val="0"/>
      <w:marTop w:val="0"/>
      <w:marBottom w:val="0"/>
      <w:divBdr>
        <w:top w:val="none" w:sz="0" w:space="0" w:color="auto"/>
        <w:left w:val="none" w:sz="0" w:space="0" w:color="auto"/>
        <w:bottom w:val="none" w:sz="0" w:space="0" w:color="auto"/>
        <w:right w:val="none" w:sz="0" w:space="0" w:color="auto"/>
      </w:divBdr>
    </w:div>
    <w:div w:id="1014922085">
      <w:bodyDiv w:val="1"/>
      <w:marLeft w:val="0"/>
      <w:marRight w:val="0"/>
      <w:marTop w:val="0"/>
      <w:marBottom w:val="0"/>
      <w:divBdr>
        <w:top w:val="none" w:sz="0" w:space="0" w:color="auto"/>
        <w:left w:val="none" w:sz="0" w:space="0" w:color="auto"/>
        <w:bottom w:val="none" w:sz="0" w:space="0" w:color="auto"/>
        <w:right w:val="none" w:sz="0" w:space="0" w:color="auto"/>
      </w:divBdr>
    </w:div>
    <w:div w:id="1031078771">
      <w:bodyDiv w:val="1"/>
      <w:marLeft w:val="0"/>
      <w:marRight w:val="0"/>
      <w:marTop w:val="0"/>
      <w:marBottom w:val="0"/>
      <w:divBdr>
        <w:top w:val="none" w:sz="0" w:space="0" w:color="auto"/>
        <w:left w:val="none" w:sz="0" w:space="0" w:color="auto"/>
        <w:bottom w:val="none" w:sz="0" w:space="0" w:color="auto"/>
        <w:right w:val="none" w:sz="0" w:space="0" w:color="auto"/>
      </w:divBdr>
    </w:div>
    <w:div w:id="1088773535">
      <w:bodyDiv w:val="1"/>
      <w:marLeft w:val="0"/>
      <w:marRight w:val="0"/>
      <w:marTop w:val="0"/>
      <w:marBottom w:val="0"/>
      <w:divBdr>
        <w:top w:val="none" w:sz="0" w:space="0" w:color="auto"/>
        <w:left w:val="none" w:sz="0" w:space="0" w:color="auto"/>
        <w:bottom w:val="none" w:sz="0" w:space="0" w:color="auto"/>
        <w:right w:val="none" w:sz="0" w:space="0" w:color="auto"/>
      </w:divBdr>
    </w:div>
    <w:div w:id="1321421990">
      <w:bodyDiv w:val="1"/>
      <w:marLeft w:val="0"/>
      <w:marRight w:val="0"/>
      <w:marTop w:val="0"/>
      <w:marBottom w:val="0"/>
      <w:divBdr>
        <w:top w:val="none" w:sz="0" w:space="0" w:color="auto"/>
        <w:left w:val="none" w:sz="0" w:space="0" w:color="auto"/>
        <w:bottom w:val="none" w:sz="0" w:space="0" w:color="auto"/>
        <w:right w:val="none" w:sz="0" w:space="0" w:color="auto"/>
      </w:divBdr>
    </w:div>
    <w:div w:id="1386375591">
      <w:bodyDiv w:val="1"/>
      <w:marLeft w:val="0"/>
      <w:marRight w:val="0"/>
      <w:marTop w:val="0"/>
      <w:marBottom w:val="0"/>
      <w:divBdr>
        <w:top w:val="none" w:sz="0" w:space="0" w:color="auto"/>
        <w:left w:val="none" w:sz="0" w:space="0" w:color="auto"/>
        <w:bottom w:val="none" w:sz="0" w:space="0" w:color="auto"/>
        <w:right w:val="none" w:sz="0" w:space="0" w:color="auto"/>
      </w:divBdr>
    </w:div>
    <w:div w:id="1684866577">
      <w:bodyDiv w:val="1"/>
      <w:marLeft w:val="0"/>
      <w:marRight w:val="0"/>
      <w:marTop w:val="0"/>
      <w:marBottom w:val="0"/>
      <w:divBdr>
        <w:top w:val="none" w:sz="0" w:space="0" w:color="auto"/>
        <w:left w:val="none" w:sz="0" w:space="0" w:color="auto"/>
        <w:bottom w:val="none" w:sz="0" w:space="0" w:color="auto"/>
        <w:right w:val="none" w:sz="0" w:space="0" w:color="auto"/>
      </w:divBdr>
    </w:div>
    <w:div w:id="1734233947">
      <w:bodyDiv w:val="1"/>
      <w:marLeft w:val="0"/>
      <w:marRight w:val="0"/>
      <w:marTop w:val="0"/>
      <w:marBottom w:val="0"/>
      <w:divBdr>
        <w:top w:val="none" w:sz="0" w:space="0" w:color="auto"/>
        <w:left w:val="none" w:sz="0" w:space="0" w:color="auto"/>
        <w:bottom w:val="none" w:sz="0" w:space="0" w:color="auto"/>
        <w:right w:val="none" w:sz="0" w:space="0" w:color="auto"/>
      </w:divBdr>
      <w:divsChild>
        <w:div w:id="1336031652">
          <w:marLeft w:val="360"/>
          <w:marRight w:val="0"/>
          <w:marTop w:val="200"/>
          <w:marBottom w:val="0"/>
          <w:divBdr>
            <w:top w:val="none" w:sz="0" w:space="0" w:color="auto"/>
            <w:left w:val="none" w:sz="0" w:space="0" w:color="auto"/>
            <w:bottom w:val="none" w:sz="0" w:space="0" w:color="auto"/>
            <w:right w:val="none" w:sz="0" w:space="0" w:color="auto"/>
          </w:divBdr>
        </w:div>
      </w:divsChild>
    </w:div>
    <w:div w:id="191654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pbac-meetings/pbac-outcomes/recommendations-made-by-the-pbac-july-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0D27E-FE4E-4E33-A831-63A90C19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929</Words>
  <Characters>6034</Characters>
  <Application>Microsoft Office Word</Application>
  <DocSecurity>0</DocSecurity>
  <Lines>241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2024-10-22T23:54:00Z</dcterms:created>
  <dcterms:modified xsi:type="dcterms:W3CDTF">2024-10-24T22:09:00Z</dcterms:modified>
</cp:coreProperties>
</file>